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623439d2_6k.htm"/>
      <w:bookmarkStart w:id="1" w:name="kstm2623439d2_6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jc w:val="center"/>
        <w:rPr>
          <w:rFonts w:ascii="Times New Roman;Times;Serif" w:hAnsi="Times New Roman;Times;Serif"/>
          <w:b/>
          <w:i w:val="false"/>
          <w:caps w:val="false"/>
          <w:smallCaps w:val="false"/>
          <w:sz w:val="26"/>
        </w:rPr>
      </w:pPr>
      <w:r>
        <w:rPr>
          <w:rFonts w:ascii="Times New Roman;Times;Serif" w:hAnsi="Times New Roman;Times;Serif"/>
          <w:b/>
          <w:i w:val="false"/>
          <w:caps w:val="false"/>
          <w:smallCaps w:val="false"/>
          <w:sz w:val="26"/>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001-39278</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Kingsoft Cloud Holdings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D, Xiaomi Science and Technology Park, No. 33 Xierqi Middle Road,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Haidian District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100085, the People’s Republic of China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05"/>
        <w:gridCol w:w="9000"/>
      </w:tblGrid>
      <w:tr>
        <w:trPr/>
        <w:tc>
          <w:tcPr>
            <w:tcW w:w="120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Exhibit No.</w:t>
            </w:r>
          </w:p>
        </w:tc>
        <w:tc>
          <w:tcPr>
            <w:tcW w:w="900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Description</w:t>
            </w:r>
          </w:p>
        </w:tc>
      </w:tr>
      <w:tr>
        <w:trPr/>
        <w:tc>
          <w:tcPr>
            <w:tcW w:w="1205" w:type="dxa"/>
            <w:tcBorders/>
            <w:vAlign w:val="center"/>
          </w:tcPr>
          <w:p>
            <w:pPr>
              <w:pStyle w:val="TableContents"/>
              <w:bidi w:val="0"/>
              <w:spacing w:before="0" w:after="283"/>
              <w:jc w:val="left"/>
              <w:rPr/>
            </w:pPr>
            <w:r>
              <w:rPr/>
              <w:t> </w:t>
            </w:r>
          </w:p>
        </w:tc>
        <w:tc>
          <w:tcPr>
            <w:tcW w:w="9000"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hyperlink w:anchor="tm2623439d2_ex99-1.htm">
              <w:r>
                <w:rPr>
                  <w:rStyle w:val="InternetLink"/>
                  <w:rFonts w:ascii="Times New Roman;Times;Serif" w:hAnsi="Times New Roman;Times;Serif"/>
                </w:rPr>
                <w:t>99.1</w:t>
              </w:r>
            </w:hyperlink>
          </w:p>
        </w:tc>
        <w:tc>
          <w:tcPr>
            <w:tcW w:w="9000" w:type="dxa"/>
            <w:tcBorders/>
            <w:vAlign w:val="center"/>
          </w:tcPr>
          <w:p>
            <w:pPr>
              <w:pStyle w:val="TableContents"/>
              <w:bidi w:val="0"/>
              <w:spacing w:before="0" w:after="283"/>
              <w:jc w:val="left"/>
              <w:rPr/>
            </w:pPr>
            <w:hyperlink w:anchor="tm2623439d2_ex99-1.htm">
              <w:r>
                <w:rPr>
                  <w:rStyle w:val="InternetLink"/>
                  <w:rFonts w:ascii="Times New Roman;Times;Serif" w:hAnsi="Times New Roman;Times;Serif"/>
                </w:rPr>
                <w:t>Press Release — Kingsoft Cloud Announces Unaudited Second Quarter 2026 Financial Results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643" w:type="dxa"/>
        <w:jc w:val="left"/>
        <w:tblInd w:w="0" w:type="dxa"/>
        <w:tblLayout w:type="fixed"/>
        <w:tblCellMar>
          <w:top w:w="0" w:type="dxa"/>
          <w:left w:w="0" w:type="dxa"/>
          <w:bottom w:w="0" w:type="dxa"/>
          <w:right w:w="0" w:type="dxa"/>
        </w:tblCellMar>
      </w:tblPr>
      <w:tblGrid>
        <w:gridCol w:w="1865"/>
        <w:gridCol w:w="322"/>
        <w:gridCol w:w="548"/>
        <w:gridCol w:w="1908"/>
      </w:tblGrid>
      <w:tr>
        <w:trPr/>
        <w:tc>
          <w:tcPr>
            <w:tcW w:w="1865" w:type="dxa"/>
            <w:tcBorders/>
            <w:vAlign w:val="center"/>
          </w:tcPr>
          <w:p>
            <w:pPr>
              <w:pStyle w:val="TableContents"/>
              <w:bidi w:val="0"/>
              <w:spacing w:before="0" w:after="283"/>
              <w:jc w:val="left"/>
              <w:rPr/>
            </w:pPr>
            <w:r>
              <w:rPr/>
              <w:t> </w:t>
            </w:r>
          </w:p>
        </w:tc>
        <w:tc>
          <w:tcPr>
            <w:tcW w:w="2778"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Kingsoft Cloud Holdings Limited</w:t>
            </w:r>
          </w:p>
        </w:tc>
      </w:tr>
      <w:tr>
        <w:trPr/>
        <w:tc>
          <w:tcPr>
            <w:tcW w:w="1865" w:type="dxa"/>
            <w:tcBorders/>
            <w:vAlign w:val="center"/>
          </w:tcPr>
          <w:p>
            <w:pPr>
              <w:pStyle w:val="TableContents"/>
              <w:bidi w:val="0"/>
              <w:spacing w:before="0" w:after="283"/>
              <w:jc w:val="left"/>
              <w:rPr/>
            </w:pPr>
            <w:r>
              <w:rPr/>
              <w:t> </w:t>
            </w:r>
          </w:p>
        </w:tc>
        <w:tc>
          <w:tcPr>
            <w:tcW w:w="2778" w:type="dxa"/>
            <w:gridSpan w:val="3"/>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19, 2026</w:t>
            </w:r>
          </w:p>
        </w:tc>
        <w:tc>
          <w:tcPr>
            <w:tcW w:w="3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56"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Yi Li</w:t>
            </w:r>
          </w:p>
        </w:tc>
      </w:tr>
      <w:tr>
        <w:trPr/>
        <w:tc>
          <w:tcPr>
            <w:tcW w:w="1865"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 Li</w:t>
            </w:r>
          </w:p>
        </w:tc>
      </w:tr>
      <w:tr>
        <w:trPr/>
        <w:tc>
          <w:tcPr>
            <w:tcW w:w="1865"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54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right"/>
        <w:rPr>
          <w:b/>
        </w:rPr>
      </w:pPr>
      <w:bookmarkStart w:id="2" w:name="tm2623439d2_ex99-1.htm"/>
      <w:bookmarkStart w:id="3" w:name="kstm2623439d2_ex991"/>
      <w:bookmarkEnd w:id="2"/>
      <w:bookmarkEnd w:id="3"/>
      <w:r>
        <w:rPr>
          <w:b/>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Kingsoft Cloud Announces Unaudited 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Kingsoft Cloud Holdings Limited (“Kingsoft Cloud” or the “Company”) (NASDAQ: KC and HKEX: 3896), a leading cloud service provider in China, today announced its unaudited financial results for the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 w:right="4" w:firstLine="1"/>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Mr. Tao Zou, Chief Executive Officer of Kingsoft Cloud, commented: “We are excited to deliver a quarter of both strong growth and profitability. Gross billings from our AI cloud business grew 82% year-over-year, representing 56% of public cloud revenue, driven by incremental contributions from our AI cloud infrastructure services as well as Model-as-a-Service (MaaS) offerings. Profitability-wise, we recorded positive operating margin (GAAP) for the first time, and our adjusted operating profit margin increased significantly to reach 4.0%</w:t>
      </w:r>
      <w:r>
        <w:rPr>
          <w:rFonts w:ascii="Times New Roman;Times;Serif" w:hAnsi="Times New Roman;Times;Serif"/>
          <w:b w:val="false"/>
          <w:i w:val="false"/>
          <w:caps w:val="false"/>
          <w:smallCaps w:val="false"/>
          <w:color w:val="231F20"/>
          <w:position w:val="7"/>
          <w:sz w:val="16"/>
          <w:sz w:val="20"/>
        </w:rPr>
        <w:t>1</w:t>
      </w:r>
      <w:r>
        <w:rPr>
          <w:rFonts w:ascii="Times New Roman;Times;Serif" w:hAnsi="Times New Roman;Times;Serif"/>
          <w:b w:val="false"/>
          <w:i w:val="false"/>
          <w:caps w:val="false"/>
          <w:smallCaps w:val="false"/>
          <w:color w:val="231F20"/>
          <w:sz w:val="20"/>
        </w:rPr>
        <w:t>, thanks to our improved gross margin and operating efficiency. We remain committed to pursuing high-quality, sustainable growth strategy, deepening collaboration with customers both within and beyond our ecosystem, and strengthening our market position.”</w:t>
      </w:r>
    </w:p>
    <w:p>
      <w:pPr>
        <w:pStyle w:val="TextBody"/>
        <w:bidi w:val="0"/>
        <w:spacing w:before="0" w:after="0"/>
        <w:ind w:left="1" w:right="4" w:firstLine="1"/>
        <w:jc w:val="both"/>
        <w:rPr>
          <w:caps w:val="false"/>
          <w:smallCaps w:val="false"/>
          <w:color w:val="231F20"/>
        </w:rPr>
      </w:pPr>
      <w:r>
        <w:rPr>
          <w:caps w:val="false"/>
          <w:smallCaps w:val="false"/>
          <w:color w:val="231F20"/>
        </w:rPr>
        <w:t> </w:t>
      </w:r>
    </w:p>
    <w:p>
      <w:pPr>
        <w:pStyle w:val="TextBody"/>
        <w:bidi w:val="0"/>
        <w:spacing w:before="0" w:after="0"/>
        <w:ind w:left="1" w:right="4" w:firstLine="1"/>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Ms. Yi Li, Chief Financial Officer of Kingsoft Cloud, added, “We delivered a strong quarter, with total revenue reaching a record high of RMB3,072.0 million, representing an increase of 30.8% year-over-year. Adjusted gross profit increased by 34.6% year-over-year to RMB471.7 million, with an adjusted gross margin of 15.4%</w:t>
      </w:r>
      <w:r>
        <w:rPr>
          <w:rFonts w:ascii="Times New Roman;Times;Serif" w:hAnsi="Times New Roman;Times;Serif"/>
          <w:b w:val="false"/>
          <w:i w:val="false"/>
          <w:caps w:val="false"/>
          <w:smallCaps w:val="false"/>
          <w:color w:val="231F20"/>
          <w:position w:val="7"/>
          <w:sz w:val="16"/>
          <w:sz w:val="20"/>
        </w:rPr>
        <w:t>2</w:t>
      </w:r>
      <w:r>
        <w:rPr>
          <w:rFonts w:ascii="Times New Roman;Times;Serif" w:hAnsi="Times New Roman;Times;Serif"/>
          <w:b w:val="false"/>
          <w:i w:val="false"/>
          <w:caps w:val="false"/>
          <w:smallCaps w:val="false"/>
          <w:color w:val="231F20"/>
          <w:sz w:val="20"/>
        </w:rPr>
        <w:t>, an improvement from last quarter. We also reached breakeven on operating profit (GAAP), with adjusted operating profit margin reaching 4.0%, demonstrating improving profitability thanks to AI demand tailwinds and operational optimization. We remain committed to investing for sustainable long-term growth, with capital expenditures (including capitalized assets through leasing arrangements) amounting to RMB3.3 billion in Q2, an increase from Q1.”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231F20"/>
          <w:sz w:val="20"/>
          <w:u w:val="single"/>
        </w:rPr>
      </w:pPr>
      <w:r>
        <w:rPr>
          <w:rFonts w:ascii="Times New Roman;Times;Serif" w:hAnsi="Times New Roman;Times;Serif"/>
          <w:b/>
          <w:i w:val="false"/>
          <w:caps w:val="false"/>
          <w:smallCaps w:val="false"/>
          <w:color w:val="231F20"/>
          <w:sz w:val="20"/>
          <w:u w:val="single"/>
        </w:rPr>
        <w:t>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i w:val="false"/>
          <w:caps w:val="false"/>
          <w:smallCaps w:val="false"/>
          <w:color w:val="231F20"/>
          <w:sz w:val="20"/>
        </w:rPr>
        <w:t xml:space="preserve">Total Revenues </w:t>
      </w:r>
      <w:r>
        <w:rPr>
          <w:rFonts w:ascii="Times New Roman;Times;Serif" w:hAnsi="Times New Roman;Times;Serif"/>
          <w:b w:val="false"/>
          <w:i w:val="false"/>
          <w:caps w:val="false"/>
          <w:smallCaps w:val="false"/>
          <w:color w:val="231F20"/>
          <w:sz w:val="20"/>
        </w:rPr>
        <w:t>reached RMB3,072.0 million (US$452.8</w:t>
      </w:r>
      <w:r>
        <w:rPr>
          <w:rFonts w:ascii="Times New Roman;Times;Serif" w:hAnsi="Times New Roman;Times;Serif"/>
          <w:b w:val="false"/>
          <w:i w:val="false"/>
          <w:caps w:val="false"/>
          <w:smallCaps w:val="false"/>
          <w:color w:val="231F20"/>
          <w:position w:val="7"/>
          <w:sz w:val="16"/>
          <w:sz w:val="20"/>
        </w:rPr>
        <w:t>3</w:t>
      </w:r>
      <w:r>
        <w:rPr>
          <w:rFonts w:ascii="Times New Roman;Times;Serif" w:hAnsi="Times New Roman;Times;Serif"/>
          <w:b w:val="false"/>
          <w:i w:val="false"/>
          <w:caps w:val="false"/>
          <w:smallCaps w:val="false"/>
          <w:color w:val="231F20"/>
          <w:sz w:val="20"/>
        </w:rPr>
        <w:t xml:space="preserve"> million), increased by 30.8% year-over-year from RMB2,349.2 million in the same quarter of 2025, and increased by 13.6% quarter-over-quarter from RMB2,703.7 million in the first quarter of 2026. The increase was mainly due to revenue growth from AI-related customers, supported by continued upgrades to our AI infrastructure and product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Revenues from public cloud services were RMB2,357.6 million (US$347.5 million), increased by 45.1% year-over-year from RMB1,625.3 million in the same quarter of 2025 and increased by 18.1% quarter-over-quarter from RMB1,996.3 million last quarter. The increase was mainly driven by growing demand for AI cloud services. AI cloud gross billings reached RMB1,327 million (US$195.6 million), while our other public cloud services also maintained solid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Revenues from enterprise cloud services were RMB714.3 million (US$105.3 million), representing a year-over-year decrease of 1.3% from RMB723.9 million in the same quarter of 2025 and a quarter-over-quarter increase of 1.0% from RMB707.4 million last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position w:val="7"/>
          <w:sz w:val="16"/>
          <w:sz w:val="20"/>
        </w:rPr>
        <w:t>1</w:t>
      </w:r>
      <w:r>
        <w:rPr>
          <w:rFonts w:ascii="Times New Roman;Times;Serif" w:hAnsi="Times New Roman;Times;Serif"/>
          <w:b w:val="false"/>
          <w:i w:val="false"/>
          <w:caps w:val="false"/>
          <w:smallCaps w:val="false"/>
          <w:sz w:val="20"/>
        </w:rPr>
        <w:t xml:space="preserve"> Our </w:t>
      </w:r>
      <w:r>
        <w:rPr>
          <w:rFonts w:ascii="Times New Roman;Times;Serif" w:hAnsi="Times New Roman;Times;Serif"/>
          <w:b w:val="false"/>
          <w:i w:val="false"/>
          <w:caps w:val="false"/>
          <w:smallCaps w:val="false"/>
          <w:color w:val="231F20"/>
          <w:sz w:val="20"/>
        </w:rPr>
        <w:t>operating profit margin was 0.7%.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position w:val="7"/>
          <w:sz w:val="16"/>
          <w:sz w:val="20"/>
        </w:rPr>
        <w:t>2</w:t>
      </w:r>
      <w:r>
        <w:rPr>
          <w:rFonts w:ascii="Times New Roman;Times;Serif" w:hAnsi="Times New Roman;Times;Serif"/>
          <w:b w:val="false"/>
          <w:i w:val="false"/>
          <w:caps w:val="false"/>
          <w:smallCaps w:val="false"/>
          <w:sz w:val="20"/>
        </w:rPr>
        <w:t> Our gross profit was RMB466.2 million, representing a year-over-year increase of 37.6%, with a gross margin of 15.2%.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This announcement contains translations of certain Renminbi (RMB) amounts into U.S. dollars (US$) at a specified rate solely for the convenience of the reader. Unless otherwise noted, the translation of RMB into US$ has been made at RMB6.7851 to US$1.00, the noon buying rate in effect on June 30, 2026 as certified for customs purposes by the Federal Reserve Bank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i w:val="false"/>
          <w:caps w:val="false"/>
          <w:smallCaps w:val="false"/>
          <w:color w:val="231F20"/>
          <w:sz w:val="20"/>
        </w:rPr>
        <w:t>Cost of revenues</w:t>
      </w:r>
      <w:r>
        <w:rPr>
          <w:rFonts w:ascii="Times New Roman;Times;Serif" w:hAnsi="Times New Roman;Times;Serif"/>
          <w:b w:val="false"/>
          <w:i w:val="false"/>
          <w:caps w:val="false"/>
          <w:smallCaps w:val="false"/>
          <w:color w:val="231F20"/>
          <w:sz w:val="20"/>
        </w:rPr>
        <w:t xml:space="preserve"> was RMB2,605.8 million (US$384.0 million), representing an increase of 29.6% from RMB2,010.4 million in the same quarter of 2025, which was mainly due to our continued investment in AI computing resources. IDC costs increased by 23.3% year-over-year from RMB803.1 million to RMB990.1 million (US$146.0 million) this quarter, largely in line with our revenue expansion. Depreciation and amortization costs increased from RMB552.0 million in the same quarter of 2025 to RMB963.8 million (US$142.0 million) this quarter. The increase was mainly due to the depreciation of newly acquired and leased servers, and network equipment which were mainly related to AI cloud business. Solution development and services costs increased by 3.9% year-over-year from RMB563.7 million in the same quarter of 2025 to RMB585.7 million (US$86.3 million) this quarter. The increase was mainly due to the solution personnel expansion. Fulfillment costs and other costs were RMB15.1 million (US$2.2 million) and RMB51.1 million (US$7.5 million) this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i w:val="false"/>
          <w:caps w:val="false"/>
          <w:smallCaps w:val="false"/>
          <w:color w:val="231F20"/>
          <w:sz w:val="20"/>
        </w:rPr>
        <w:t>Gross profit</w:t>
      </w:r>
      <w:r>
        <w:rPr>
          <w:rFonts w:ascii="Times New Roman;Times;Serif" w:hAnsi="Times New Roman;Times;Serif"/>
          <w:b w:val="false"/>
          <w:i w:val="false"/>
          <w:caps w:val="false"/>
          <w:smallCaps w:val="false"/>
          <w:color w:val="231F20"/>
          <w:sz w:val="20"/>
        </w:rPr>
        <w:t xml:space="preserve"> was RMB466.2 million (US$68.7 million), representing an increase of 37.6% from RMB338.9 million in the same quarter of 2025. The increase was mainly due to the expansion of our revenue scale, especially the intelligent computing services. </w:t>
      </w:r>
      <w:r>
        <w:rPr>
          <w:rFonts w:ascii="Times New Roman;Times;Serif" w:hAnsi="Times New Roman;Times;Serif"/>
          <w:b/>
          <w:i w:val="false"/>
          <w:caps w:val="false"/>
          <w:smallCaps w:val="false"/>
          <w:color w:val="231F20"/>
          <w:sz w:val="20"/>
        </w:rPr>
        <w:t>Gross margin</w:t>
      </w:r>
      <w:r>
        <w:rPr>
          <w:rFonts w:ascii="Times New Roman;Times;Serif" w:hAnsi="Times New Roman;Times;Serif"/>
          <w:b w:val="false"/>
          <w:i w:val="false"/>
          <w:caps w:val="false"/>
          <w:smallCaps w:val="false"/>
          <w:color w:val="231F20"/>
          <w:sz w:val="20"/>
        </w:rPr>
        <w:t xml:space="preserve"> was 15.2% in this quarter, compared with 14.4% in the same quarter of 2025 and 12.8% last quarter. The increase was mainly due to higher profit contribution from our AI cloud business. </w:t>
      </w:r>
      <w:r>
        <w:rPr>
          <w:rFonts w:ascii="Times New Roman;Times;Serif" w:hAnsi="Times New Roman;Times;Serif"/>
          <w:b/>
          <w:i w:val="false"/>
          <w:caps w:val="false"/>
          <w:smallCaps w:val="false"/>
          <w:color w:val="231F20"/>
          <w:sz w:val="20"/>
        </w:rPr>
        <w:t>Non-GAAP gross profit</w:t>
      </w:r>
      <w:r>
        <w:rPr>
          <w:rFonts w:ascii="Times New Roman;Times;Serif" w:hAnsi="Times New Roman;Times;Serif"/>
          <w:b w:val="false"/>
          <w:i w:val="false"/>
          <w:caps w:val="false"/>
          <w:smallCaps w:val="false"/>
          <w:color w:val="231F20"/>
          <w:position w:val="7"/>
          <w:sz w:val="16"/>
          <w:sz w:val="20"/>
        </w:rPr>
        <w:t>4</w:t>
      </w:r>
      <w:r>
        <w:rPr>
          <w:rFonts w:ascii="Times New Roman;Times;Serif" w:hAnsi="Times New Roman;Times;Serif"/>
          <w:b w:val="false"/>
          <w:i w:val="false"/>
          <w:caps w:val="false"/>
          <w:smallCaps w:val="false"/>
          <w:color w:val="231F20"/>
          <w:sz w:val="20"/>
        </w:rPr>
        <w:t xml:space="preserve"> was RMB471.7 million (US$69.5 million), compared with RMB350.6 million in the same period in 2025. </w:t>
      </w:r>
      <w:r>
        <w:rPr>
          <w:rFonts w:ascii="Times New Roman;Times;Serif" w:hAnsi="Times New Roman;Times;Serif"/>
          <w:b/>
          <w:i w:val="false"/>
          <w:caps w:val="false"/>
          <w:smallCaps w:val="false"/>
          <w:color w:val="231F20"/>
          <w:sz w:val="20"/>
        </w:rPr>
        <w:t>Non-GAAP gross margin</w:t>
      </w:r>
      <w:r>
        <w:rPr>
          <w:rFonts w:ascii="Times New Roman;Times;Serif" w:hAnsi="Times New Roman;Times;Serif"/>
          <w:b w:val="false"/>
          <w:i w:val="false"/>
          <w:caps w:val="false"/>
          <w:smallCaps w:val="false"/>
          <w:color w:val="231F20"/>
          <w:position w:val="7"/>
          <w:sz w:val="16"/>
          <w:sz w:val="20"/>
        </w:rPr>
        <w:t>4</w:t>
      </w:r>
      <w:r>
        <w:rPr>
          <w:rFonts w:ascii="Times New Roman;Times;Serif" w:hAnsi="Times New Roman;Times;Serif"/>
          <w:b w:val="false"/>
          <w:i w:val="false"/>
          <w:caps w:val="false"/>
          <w:smallCaps w:val="false"/>
          <w:color w:val="231F20"/>
          <w:sz w:val="20"/>
        </w:rPr>
        <w:t xml:space="preserve"> was 15.4%, compared with 14.9% in the same period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i w:val="false"/>
          <w:caps w:val="false"/>
          <w:smallCaps w:val="false"/>
          <w:color w:val="231F20"/>
          <w:sz w:val="20"/>
        </w:rPr>
        <w:t>Total operating expenses</w:t>
      </w:r>
      <w:r>
        <w:rPr>
          <w:rFonts w:ascii="Times New Roman;Times;Serif" w:hAnsi="Times New Roman;Times;Serif"/>
          <w:b w:val="false"/>
          <w:i w:val="false"/>
          <w:caps w:val="false"/>
          <w:smallCaps w:val="false"/>
          <w:color w:val="231F20"/>
          <w:sz w:val="20"/>
        </w:rPr>
        <w:t xml:space="preserve"> were RMB443.2 million (US$65.3 million), decreased by 33.4% from RMB665.8 million in the same quarter of 2025 and decreased by 13.4% from RMB511.9 million last quarter. Among which: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i w:val="false"/>
          <w:caps w:val="false"/>
          <w:smallCaps w:val="false"/>
          <w:color w:val="231F20"/>
          <w:sz w:val="20"/>
        </w:rPr>
        <w:t>Selling and marketing expenses</w:t>
      </w:r>
      <w:r>
        <w:rPr>
          <w:rFonts w:ascii="Times New Roman;Times;Serif" w:hAnsi="Times New Roman;Times;Serif"/>
          <w:b w:val="false"/>
          <w:i w:val="false"/>
          <w:caps w:val="false"/>
          <w:smallCaps w:val="false"/>
          <w:color w:val="231F20"/>
          <w:sz w:val="20"/>
        </w:rPr>
        <w:t xml:space="preserve"> were RMB113.1 million (US$16.7 million), decreased by 14.3% from RMB132.0 million in the same period in 2025 and decreased by 8.6% from RMB123.8 million last quarter. The decrease was mainly due to the decrease of share-based compensation and personnel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i w:val="false"/>
          <w:caps w:val="false"/>
          <w:smallCaps w:val="false"/>
          <w:color w:val="231F20"/>
          <w:sz w:val="20"/>
        </w:rPr>
        <w:t xml:space="preserve">General and administrative expenses </w:t>
      </w:r>
      <w:r>
        <w:rPr>
          <w:rFonts w:ascii="Times New Roman;Times;Serif" w:hAnsi="Times New Roman;Times;Serif"/>
          <w:b w:val="false"/>
          <w:i w:val="false"/>
          <w:caps w:val="false"/>
          <w:smallCaps w:val="false"/>
          <w:color w:val="231F20"/>
          <w:sz w:val="20"/>
        </w:rPr>
        <w:t>were RMB140.2 million (US$20.6 million), decreased by 58.7% from RMB339.6 million in the same period in 2025 and decreased by 28.0% from RMB194.8 million last quarter. The decrease was mainly due to the decrease of credit loss expenses and 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i w:val="false"/>
          <w:caps w:val="false"/>
          <w:smallCaps w:val="false"/>
          <w:color w:val="231F20"/>
          <w:sz w:val="20"/>
        </w:rPr>
        <w:t>Research and development expenses</w:t>
      </w:r>
      <w:r>
        <w:rPr>
          <w:rFonts w:ascii="Times New Roman;Times;Serif" w:hAnsi="Times New Roman;Times;Serif"/>
          <w:b w:val="false"/>
          <w:i w:val="false"/>
          <w:caps w:val="false"/>
          <w:smallCaps w:val="false"/>
          <w:color w:val="231F20"/>
          <w:sz w:val="20"/>
        </w:rPr>
        <w:t xml:space="preserve"> were RMB189.9 million (US$28.0 million), decreased by 2.3% from RMB194.3 million in the same period in 2025 and decreased by 1.8% from RMB193.3 million last quarter. The year-over-year decrease was mainly due to the decrease of personnel costs and 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i w:val="false"/>
          <w:caps w:val="false"/>
          <w:smallCaps w:val="false"/>
          <w:color w:val="231F20"/>
          <w:sz w:val="20"/>
        </w:rPr>
        <w:t xml:space="preserve">Operating profit </w:t>
      </w:r>
      <w:r>
        <w:rPr>
          <w:rFonts w:ascii="Times New Roman;Times;Serif" w:hAnsi="Times New Roman;Times;Serif"/>
          <w:b w:val="false"/>
          <w:i w:val="false"/>
          <w:caps w:val="false"/>
          <w:smallCaps w:val="false"/>
          <w:color w:val="231F20"/>
          <w:sz w:val="20"/>
        </w:rPr>
        <w:t xml:space="preserve">was RMB23.0 million (US$3.4 million), compared with operating loss of RMB327.0 million in the same period in 2025 and operating loss of RMB166.1 million last quarter. The year-over-year improvement was mainly due to the increase of revenue, while the sequential improvement was mainly due to the impact of increase in gross profit. </w:t>
      </w:r>
      <w:r>
        <w:rPr>
          <w:rFonts w:ascii="Times New Roman;Times;Serif" w:hAnsi="Times New Roman;Times;Serif"/>
          <w:b/>
          <w:i w:val="false"/>
          <w:caps w:val="false"/>
          <w:smallCaps w:val="false"/>
          <w:color w:val="231F20"/>
          <w:sz w:val="20"/>
        </w:rPr>
        <w:t>Non-GAAP operating profit</w:t>
      </w:r>
      <w:r>
        <w:rPr>
          <w:rFonts w:ascii="Times New Roman;Times;Serif" w:hAnsi="Times New Roman;Times;Serif"/>
          <w:b w:val="false"/>
          <w:i w:val="false"/>
          <w:caps w:val="false"/>
          <w:smallCaps w:val="false"/>
          <w:color w:val="231F20"/>
          <w:position w:val="7"/>
          <w:sz w:val="16"/>
          <w:sz w:val="20"/>
        </w:rPr>
        <w:t>5</w:t>
      </w:r>
      <w:r>
        <w:rPr>
          <w:rFonts w:ascii="Times New Roman;Times;Serif" w:hAnsi="Times New Roman;Times;Serif"/>
          <w:b w:val="false"/>
          <w:i w:val="false"/>
          <w:caps w:val="false"/>
          <w:smallCaps w:val="false"/>
          <w:color w:val="231F20"/>
          <w:sz w:val="20"/>
        </w:rPr>
        <w:t xml:space="preserve"> was RMB124.0 million (US$18.3 million), compared with operating loss of RMB166.4 million in the same period last year and operating loss of RMB59.8 million last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Non-GAAP gross profit is defined as gross profit excluding share-based compensation expenses allocated in the cost of revenues and we define Non-GAAP gross margin as Non-GAAP gross profit as a percentage of revenues. See “Use of Non-GAAP Financial Measures” set forth at the end of this press release.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Non-GAAP operating (loss) profit is defined as operating (loss) profit excluding share-based compensation expenses and amortization of intangible assets and we define Non-GAAP operating (loss) profit margin as Non-GAAP operating (loss) profit as a percentage of revenues. See “Use of Non-GAAP Financial Measures” set forth at the end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i w:val="false"/>
          <w:caps w:val="false"/>
          <w:smallCaps w:val="false"/>
          <w:color w:val="231F20"/>
          <w:sz w:val="20"/>
        </w:rPr>
        <w:t xml:space="preserve">Net loss </w:t>
      </w:r>
      <w:r>
        <w:rPr>
          <w:rFonts w:ascii="Times New Roman;Times;Serif" w:hAnsi="Times New Roman;Times;Serif"/>
          <w:b w:val="false"/>
          <w:i w:val="false"/>
          <w:caps w:val="false"/>
          <w:smallCaps w:val="false"/>
          <w:color w:val="231F20"/>
          <w:sz w:val="20"/>
        </w:rPr>
        <w:t xml:space="preserve">was RMB93.0 million (US$13.7 million), narrowed by 79.6% from RMB456.9 million in the same quarter of 2025 and narrowed by 72.9% from RMB343.7 million last quarter. </w:t>
      </w:r>
      <w:r>
        <w:rPr>
          <w:rFonts w:ascii="Times New Roman;Times;Serif" w:hAnsi="Times New Roman;Times;Serif"/>
          <w:b/>
          <w:i w:val="false"/>
          <w:caps w:val="false"/>
          <w:smallCaps w:val="false"/>
          <w:color w:val="231F20"/>
          <w:sz w:val="20"/>
        </w:rPr>
        <w:t>Non-GAAP net loss</w:t>
      </w:r>
      <w:r>
        <w:rPr>
          <w:rFonts w:ascii="Times New Roman;Times;Serif" w:hAnsi="Times New Roman;Times;Serif"/>
          <w:b w:val="false"/>
          <w:i w:val="false"/>
          <w:caps w:val="false"/>
          <w:smallCaps w:val="false"/>
          <w:color w:val="231F20"/>
          <w:position w:val="7"/>
          <w:sz w:val="16"/>
          <w:sz w:val="20"/>
        </w:rPr>
        <w:t>6</w:t>
      </w:r>
      <w:r>
        <w:rPr>
          <w:rFonts w:ascii="Times New Roman;Times;Serif" w:hAnsi="Times New Roman;Times;Serif"/>
          <w:b w:val="false"/>
          <w:i w:val="false"/>
          <w:caps w:val="false"/>
          <w:smallCaps w:val="false"/>
          <w:color w:val="231F20"/>
          <w:sz w:val="20"/>
        </w:rPr>
        <w:t xml:space="preserve"> was RMB59.8 million (US$8.8 million), compared with RMB300.5 million in the same quarter of 2025 and RMB237.1 million last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i w:val="false"/>
          <w:caps w:val="false"/>
          <w:smallCaps w:val="false"/>
          <w:color w:val="231F20"/>
          <w:sz w:val="20"/>
        </w:rPr>
        <w:t>Non-GAAP EBITDA</w:t>
      </w:r>
      <w:r>
        <w:rPr>
          <w:rFonts w:ascii="Times New Roman;Times;Serif" w:hAnsi="Times New Roman;Times;Serif"/>
          <w:b w:val="false"/>
          <w:i w:val="false"/>
          <w:caps w:val="false"/>
          <w:smallCaps w:val="false"/>
          <w:color w:val="231F20"/>
          <w:position w:val="7"/>
          <w:sz w:val="16"/>
          <w:sz w:val="20"/>
        </w:rPr>
        <w:t>7</w:t>
      </w:r>
      <w:r>
        <w:rPr>
          <w:rFonts w:ascii="Times New Roman;Times;Serif" w:hAnsi="Times New Roman;Times;Serif"/>
          <w:b w:val="false"/>
          <w:i w:val="false"/>
          <w:caps w:val="false"/>
          <w:smallCaps w:val="false"/>
          <w:color w:val="231F20"/>
          <w:sz w:val="20"/>
        </w:rPr>
        <w:t xml:space="preserve"> was RMB1,100.5 million (US$162.2 million), compared with RMB406.0 million in the same quarter of 2025 and RMB747.5 million last quarter. </w:t>
      </w:r>
      <w:r>
        <w:rPr>
          <w:rFonts w:ascii="Times New Roman;Times;Serif" w:hAnsi="Times New Roman;Times;Serif"/>
          <w:b/>
          <w:i w:val="false"/>
          <w:caps w:val="false"/>
          <w:smallCaps w:val="false"/>
          <w:color w:val="231F20"/>
          <w:sz w:val="20"/>
        </w:rPr>
        <w:t>Non-GAAP EBITDA margin</w:t>
      </w:r>
      <w:r>
        <w:rPr>
          <w:rFonts w:ascii="Times New Roman;Times;Serif" w:hAnsi="Times New Roman;Times;Serif"/>
          <w:b w:val="false"/>
          <w:i w:val="false"/>
          <w:caps w:val="false"/>
          <w:smallCaps w:val="false"/>
          <w:color w:val="231F20"/>
          <w:sz w:val="20"/>
        </w:rPr>
        <w:t xml:space="preserve"> was 35.8%, compared with 17.3% in the same quarter of 2025 and 27.6% last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i w:val="false"/>
          <w:caps w:val="false"/>
          <w:smallCaps w:val="false"/>
          <w:color w:val="231F20"/>
          <w:sz w:val="20"/>
        </w:rPr>
        <w:t>Basic and diluted net loss per share</w:t>
      </w:r>
      <w:r>
        <w:rPr>
          <w:rFonts w:ascii="Times New Roman;Times;Serif" w:hAnsi="Times New Roman;Times;Serif"/>
          <w:b w:val="false"/>
          <w:i w:val="false"/>
          <w:caps w:val="false"/>
          <w:smallCaps w:val="false"/>
          <w:color w:val="231F20"/>
          <w:sz w:val="20"/>
        </w:rPr>
        <w:t xml:space="preserve"> was RMB0.02 (US$0.00), compared with RMB0.11 in the same quarter of 2025 and RMB0.08 last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i w:val="false"/>
          <w:caps w:val="false"/>
          <w:smallCaps w:val="false"/>
          <w:color w:val="231F20"/>
          <w:sz w:val="20"/>
        </w:rPr>
        <w:t xml:space="preserve">Cash and cash equivalents </w:t>
      </w:r>
      <w:r>
        <w:rPr>
          <w:rFonts w:ascii="Times New Roman;Times;Serif" w:hAnsi="Times New Roman;Times;Serif"/>
          <w:b w:val="false"/>
          <w:i w:val="false"/>
          <w:caps w:val="false"/>
          <w:smallCaps w:val="false"/>
          <w:color w:val="231F20"/>
          <w:sz w:val="20"/>
        </w:rPr>
        <w:t>were RMB4,674.3 million (US$688.9 million) as of June 30, 2026, compared with RMB6,018.0 million as of December 31, 2025. The decrease was mainly due to the investment into the procurement of computing power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31F20"/>
          <w:sz w:val="20"/>
        </w:rPr>
      </w:pPr>
      <w:r>
        <w:rPr>
          <w:rFonts w:ascii="Times New Roman;Times;Serif" w:hAnsi="Times New Roman;Times;Serif"/>
          <w:b/>
          <w:i w:val="false"/>
          <w:caps w:val="false"/>
          <w:smallCaps w:val="false"/>
          <w:color w:val="231F20"/>
          <w:sz w:val="20"/>
        </w:rPr>
        <w:t>Outstanding ordinary shares</w:t>
      </w:r>
      <w:r>
        <w:rPr>
          <w:rFonts w:ascii="Times New Roman;Times;Serif" w:hAnsi="Times New Roman;Times;Serif"/>
          <w:b w:val="false"/>
          <w:i w:val="false"/>
          <w:caps w:val="false"/>
          <w:smallCaps w:val="false"/>
          <w:color w:val="231F20"/>
          <w:sz w:val="20"/>
        </w:rPr>
        <w:t xml:space="preserve"> were 4,501,784,337 as of June 30, 2026, equivalent to about 300,118,956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Conference Call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Kingsoft Cloud’s management will host an earnings conference call on Wednesday, August 19, 2026 at 8:15 am, U.S. Eastern Time (8:15 pm, Beijing/Hong Kong Time on the same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can register for the conference call by navigating to https://register-conf.media-server.com/register/BIf61186884fdb445fabf9794d01884399. Once preregistration has been completed, participants will receive dial-in numbers, direct event passcode, and a unique access PIN.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join the conference, simply dial the number in the calendar invite you receive after preregistering, enter the passcode followed by your PIN, and you will join the conference instantly.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 live and archived webcast of the conference call will also be available on the Company’s investor relations website at http://ir.ksyun.com.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Use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information is prepared in conformity with accounting principles generally accepted in the United States of America (“U.S. GAAP”). In evaluating our business, we consider and use certain non-GAAP measures, Non-GAAP gross profit, Non-GAAP gross margin, Non-GAAP operating (loss) profit, Non-GAAP operating (loss) profit margin, Non-GAAP EBITDA, Non-GAAP EBITDA margin, Non-GAAP net loss and Non-GAAP net loss margin, as supplemental measures to review and assess our operating performance. The presentation of these non-GAAP financial measures is not intended to be considered in isolation or as a substitute for the financial information prepared and presented in accordance with U.S. GAAP. We define Non-GAAP gross profit as gross profit excluding share-based compensation expenses allocated in the cost of revenues, and we define Non-GAAP gross margin as Non-GAAP gross profit as a percentage of revenues. We define Non-GAAP operating (loss) profit as operating (loss) profit excluding share-based compensation expenses and amortization of intangible assets and we define Non-GAAP operating (loss) profit margin as Non-GAAP operating (loss) profit as a percentage of revenues. We define Non-GAAP net loss as net loss excluding share-based compensation expenses and foreign exchange loss (gain), and we define Non-GAAP net loss margin as Non-GAAP net loss as a percentage of revenues. We define Non-GAAP EBITDA as Non-GAAP net loss excluding interest income, interest expense, income tax expense and depreciation and amortization, and we define Non-GAAP EBITDA margin as Non-GAAP EBITDA as a percentage of revenues. We present these non-GAAP financial measures because they are used by our management to evaluate our operating performance and formulate business plans. We also believe that the use of these non-GAAP measures facilitates investors’ assessment of our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Non-GAAP net loss is defined as net loss excluding share-based compensation expenses and foreign exchange loss (gain), and we define Non-GAAP net loss margin as Non-GAAP net loss as a percentage of revenues. See “Use of Non-GAAP Financial Measures” set forth at the end of this press release.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Non-GAAP EBITDA is defined as Non-GAAP net loss excluding interest income, interest expense, income tax expense and depreciation and amortization, and we define Non-GAAP EBITDA margin as Non-GAAP EBITDA as a percentage of revenues. See “Use of Non-GAAP Financial Measures” set forth at the end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non-GAAP financial measures are not defined under U.S. GAAP and are not presented in accordance with U.S. GAAP. These non-GAAP financial measures have limitations as analytical tools. One of the key limitations of using these non-GAAP financial measures is that they do not reflect all items of income and expense that affect our operations. Further, these non-GAAP measures may differ from the non-GAAP information used by other companies, including peer companies, and therefore their comparability may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compensate for these limitations by reconciling these non-GAAP financial measures to the nearest U.S. GAAP performance measure, all of which should be considered when evaluating our performance. We encourage you to review our financial information in its entirety and not rely on a single financial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Exchange 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translations of certain RMB amounts into U.S. dollars at specified rates solely for the convenience of readers. Unless otherwise noted, all translations from RMB to U.S. dollars, in this press release, were made at a rate of RMB6.7851 to US$1.00, the noon buying rate in effect on June 30, 2026 as certified for customs purposes by the Federal Reserve Bank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announcement, as well as Kingsoft Cloud’s strategic and operational plans, contain forward-looking statements. Kingsoft Cloud may also make written or oral forward-looking statements in its periodic reports to the U.S. Securities and Exchange Commission (“SEC”), in its annual report to shareholders, in press releases and other written materials and in oral statements made by its officers, directors or employees to third parties. Statements that are not historical facts, including but not limited to statements about Kingsoft Cloud’s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Kingsoft Cloud’s goals and strategies; Kingsoft Cloud’s future business development, results of operations and financial condition; relevant government policies and regulations relating to Kingsoft Cloud’ s business and industry; the expected growth of the cloud service market in China; the expectation regarding the rate at which to gain customers, especially Premium Customers; Kingsoft Cloud’s ability to monetize the customer base; fluctuations in general economic and business conditions in China; and the economy in China and elsewhere generally; China’s political or social conditions and assumptions underlying or related to any of the foregoing. Further information regarding these and other risks is included in Kingsoft Cloud’s filings with the SEC. All information provided in this press release and in the attachments is as of the date of this press release, and Kingsoft Cloud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Kingsoft Cloud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Kingsoft Cloud Holdings Limited (NASDAQ: KC and HKEX:3896) is a leading cloud service provider in China. With extensive cloud infrastructure, cutting-edge cloud-native products based on vigorous cloud technology research and development capabilities, well-architected industry-specific solutions and end-to-end fulfillment and deployment, Kingsoft Cloud offers comprehensive, reliable and trusted cloud service to customers in strategically selected verticals.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val="false"/>
          <w:caps w:val="false"/>
          <w:smallCaps w:val="false"/>
          <w:sz w:val="20"/>
          <w:u w:val="single"/>
        </w:rPr>
        <w:t>http://ir.ksyun.com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Kingsoft Cloud Holdings Limited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ksc-ir@kingsoft.com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KINGSOFT CLOUD HOLDINGS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665"/>
        <w:gridCol w:w="60"/>
        <w:gridCol w:w="60"/>
        <w:gridCol w:w="1010"/>
        <w:gridCol w:w="80"/>
        <w:gridCol w:w="60"/>
        <w:gridCol w:w="60"/>
        <w:gridCol w:w="1010"/>
        <w:gridCol w:w="80"/>
        <w:gridCol w:w="60"/>
        <w:gridCol w:w="60"/>
        <w:gridCol w:w="905"/>
        <w:gridCol w:w="95"/>
      </w:tblGrid>
      <w:tr>
        <w:trPr/>
        <w:tc>
          <w:tcPr>
            <w:tcW w:w="6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 31,</w:t>
              <w:b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07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6,018,043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4,674,330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688,911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54,963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1,740,472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2,433,175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358,606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2,592,314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3,116,516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459,317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573,396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702,453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103,529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11,023,419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10,981,437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1,618,464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10,094,870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13,725,293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2,022,858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532,769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445,819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65,706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4,605,724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4,605,724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678,800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139,836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419,048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61,760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234,166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336,495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49,593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98,405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189,754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27,966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15,705,770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19,722,133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2,906,683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26,729,189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30,703,570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4,525,147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NON-CONTROLLING INTERESTS AND 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2,014,453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2,425,273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357,441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3,222,429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3,792,735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558,981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borrowings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3,348,279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3,256,926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480,011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73,310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67,751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721,932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1,221,055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179,961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operating 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96,996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14,295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9,421,344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10,860,736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1,600,674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borrowings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3,023,538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3,424,480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504,706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2,212,325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3,217,952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474,267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9,031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2,645,895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4,161,172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613,282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83,245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12,269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7,994,811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10,948,122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1,613,555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17,416,155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21,808,858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3,214,229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(31,068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24,073,006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24,170,141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3,562,238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reserves funds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(15,247,868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(15,684,766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(2,311,648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440,407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336,801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49,638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Kingsoft Cloud Holdings Limited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9,317,026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8,898,503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1,311,477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9,313,034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8,894,712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1,310,918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non-controlling interests and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26,729,189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30,703,570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4,525,147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KINGSOFT CLOUD HOLDINGS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COMPREHENSIVE LOSS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(All amounts in thousands, except for share and per share data)</w:t>
      </w:r>
      <w:r>
        <w:rPr>
          <w:rFonts w:ascii="Times New Roman;Times;Serif" w:hAnsi="Times New Roman;Times;Serif"/>
          <w:b w:val="false"/>
          <w:i w:val="false"/>
          <w:caps w:val="false"/>
          <w:smallCaps w:val="false"/>
          <w:sz w:val="20"/>
        </w:rPr>
        <w:t xml:space="preserve">      </w:t>
      </w:r>
    </w:p>
    <w:p>
      <w:pPr>
        <w:pStyle w:val="TextBody"/>
        <w:bidi w:val="0"/>
        <w:spacing w:before="0" w:after="283"/>
        <w:jc w:val="left"/>
        <w:rPr/>
      </w:pPr>
      <w:r>
        <w:rPr/>
        <w:t> </w:t>
      </w:r>
    </w:p>
    <w:tbl>
      <w:tblPr>
        <w:tblW w:w="11205" w:type="dxa"/>
        <w:jc w:val="left"/>
        <w:tblInd w:w="0" w:type="dxa"/>
        <w:tblLayout w:type="fixed"/>
        <w:tblCellMar>
          <w:top w:w="0" w:type="dxa"/>
          <w:left w:w="0" w:type="dxa"/>
          <w:bottom w:w="0" w:type="dxa"/>
          <w:right w:w="0" w:type="dxa"/>
        </w:tblCellMar>
      </w:tblPr>
      <w:tblGrid>
        <w:gridCol w:w="1355"/>
        <w:gridCol w:w="60"/>
        <w:gridCol w:w="60"/>
        <w:gridCol w:w="1205"/>
        <w:gridCol w:w="80"/>
        <w:gridCol w:w="60"/>
        <w:gridCol w:w="60"/>
        <w:gridCol w:w="1205"/>
        <w:gridCol w:w="80"/>
        <w:gridCol w:w="60"/>
        <w:gridCol w:w="60"/>
        <w:gridCol w:w="1205"/>
        <w:gridCol w:w="80"/>
        <w:gridCol w:w="60"/>
        <w:gridCol w:w="60"/>
        <w:gridCol w:w="1205"/>
        <w:gridCol w:w="80"/>
        <w:gridCol w:w="60"/>
        <w:gridCol w:w="60"/>
        <w:gridCol w:w="1205"/>
        <w:gridCol w:w="80"/>
        <w:gridCol w:w="60"/>
        <w:gridCol w:w="60"/>
        <w:gridCol w:w="1205"/>
        <w:gridCol w:w="80"/>
        <w:gridCol w:w="60"/>
        <w:gridCol w:w="60"/>
        <w:gridCol w:w="1205"/>
        <w:gridCol w:w="95"/>
      </w:tblGrid>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80"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07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 31,</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26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5"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cloud 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1,625,309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1,996,301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2,357,617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347,470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2,978,788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4,353,918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641,688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Enterprise cloud services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723,918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707,431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714,349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105,282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1,340,416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1,421,780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209,544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2,349,227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2,703,732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3,071,966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452,752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4,319,204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5,775,698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851,232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(2,010,370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(2,357,984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(2,605,757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(384,041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(3,662,041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(4,963,741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(731,565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338,857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345,748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466,209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68,711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657,163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811,957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119,667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(131,996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(123,776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(113,130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(16,673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(276,334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(236,906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(34,916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(339,563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(194,765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(140,169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(20,658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(521,562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(334,934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(49,363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(194,285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(193,315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(189,911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(27,989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(420,455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(383,226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(56,481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(665,844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(511,856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(443,210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(65,320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(1,218,351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(955,066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(140,760</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(326,987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(166,108</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22,999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(561,188</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(143,109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(21,093</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8,541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(124,669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(153,595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(166,766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(24,578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(207,566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(320,361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(47,215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(loss) gain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gain (loss),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(6,588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(454,520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(338,639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(76,470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(11,269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(761,389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(415,109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(61,181</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(16,507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(11,584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(21,588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(456,863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(343,720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(92,977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(13,702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(772,973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(436,697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(64,363</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net income (loss) attributable to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attributable to Kingsoft Cloud Holdings Limited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(457,465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(343,820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(93,078</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(13,717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(771,391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(436,898</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(64,393</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used in the net loss per share computation: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4,009,119,198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4,555,310,453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4,562,509,396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4,562,509,396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3,869,381,978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4,558,929,811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4,558,929,811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 income (loss), net of tax of nil: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(34,472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(69,134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(103,606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(15,270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(413,689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(378,192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(162,111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(23,891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(722,055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(540,303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(79,633</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Comprehensive income (loss) attributable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Comprehensive loss attributable to Kingsoft Cloud Holdings Limited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(414,295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(378,292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(162,212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(23,906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(720,461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(540,504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(79,663</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KINGSOFT CLOUD HOLDINGS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AND NON-GAAP RESULTS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(All amounts in thousands, except for percentage)</w:t>
      </w:r>
      <w:r>
        <w:rPr>
          <w:rFonts w:ascii="Times New Roman;Times;Serif" w:hAnsi="Times New Roman;Times;Serif"/>
          <w:b w:val="false"/>
          <w:i w:val="false"/>
          <w:caps w:val="false"/>
          <w:smallCaps w:val="false"/>
          <w:sz w:val="20"/>
        </w:rPr>
        <w:t xml:space="preserve">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55"/>
        <w:gridCol w:w="60"/>
        <w:gridCol w:w="695"/>
        <w:gridCol w:w="60"/>
        <w:gridCol w:w="60"/>
        <w:gridCol w:w="695"/>
        <w:gridCol w:w="60"/>
        <w:gridCol w:w="60"/>
        <w:gridCol w:w="695"/>
        <w:gridCol w:w="60"/>
        <w:gridCol w:w="60"/>
        <w:gridCol w:w="624"/>
        <w:gridCol w:w="60"/>
        <w:gridCol w:w="60"/>
        <w:gridCol w:w="695"/>
        <w:gridCol w:w="60"/>
        <w:gridCol w:w="60"/>
        <w:gridCol w:w="695"/>
        <w:gridCol w:w="60"/>
        <w:gridCol w:w="60"/>
        <w:gridCol w:w="695"/>
        <w:gridCol w:w="76"/>
      </w:tblGrid>
      <w:tr>
        <w:trPr/>
        <w:tc>
          <w:tcPr>
            <w:tcW w:w="4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69"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25"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 31,</w:t>
              <w:b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2026</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4"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338,857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345,748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466,209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68,711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657,163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811,957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119,667</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455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Share-based compensation expenses (allocated in cost of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1,645</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5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gross profit (Non-GAAP Financial Measure)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350,569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351,406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471,712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69,522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678,240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823,118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121,312</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KINGSOFT CLOUD HOLDINGS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AND NON-GAAP RESULTS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(All amounts in thousands, except for percentage)</w:t>
      </w:r>
      <w:r>
        <w:rPr>
          <w:rFonts w:ascii="Times New Roman;Times;Serif" w:hAnsi="Times New Roman;Times;Serif"/>
          <w:b w:val="false"/>
          <w:i w:val="false"/>
          <w:caps w:val="false"/>
          <w:smallCaps w:val="false"/>
          <w:sz w:val="20"/>
        </w:rPr>
        <w:t xml:space="preserve">    </w:t>
      </w:r>
    </w:p>
    <w:p>
      <w:pPr>
        <w:pStyle w:val="TextBody"/>
        <w:bidi w:val="0"/>
        <w:spacing w:before="0" w:after="283"/>
        <w:jc w:val="left"/>
        <w:rPr/>
      </w:pPr>
      <w:r>
        <w:rPr/>
        <w:t> </w:t>
      </w:r>
    </w:p>
    <w:tbl>
      <w:tblPr>
        <w:tblW w:w="9314" w:type="dxa"/>
        <w:jc w:val="left"/>
        <w:tblInd w:w="0" w:type="dxa"/>
        <w:tblLayout w:type="fixed"/>
        <w:tblCellMar>
          <w:top w:w="0" w:type="dxa"/>
          <w:left w:w="0" w:type="dxa"/>
          <w:bottom w:w="0" w:type="dxa"/>
          <w:right w:w="0" w:type="dxa"/>
        </w:tblCellMar>
      </w:tblPr>
      <w:tblGrid>
        <w:gridCol w:w="4685"/>
        <w:gridCol w:w="60"/>
        <w:gridCol w:w="635"/>
        <w:gridCol w:w="215"/>
        <w:gridCol w:w="60"/>
        <w:gridCol w:w="695"/>
        <w:gridCol w:w="215"/>
        <w:gridCol w:w="60"/>
        <w:gridCol w:w="635"/>
        <w:gridCol w:w="215"/>
        <w:gridCol w:w="60"/>
        <w:gridCol w:w="637"/>
        <w:gridCol w:w="215"/>
        <w:gridCol w:w="60"/>
        <w:gridCol w:w="637"/>
        <w:gridCol w:w="230"/>
      </w:tblGrid>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15"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9"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2025</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 31,</w:t>
              <w:br/>
              <w:t>2026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2025</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3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2026</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15.2</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15.2</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14.1</w:t>
            </w:r>
          </w:p>
        </w:tc>
        <w:tc>
          <w:tcPr>
            <w:tcW w:w="2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6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gross margin (Non-GAAP Financial Measure)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14.9</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15.4</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15.7</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14.3</w:t>
            </w:r>
          </w:p>
        </w:tc>
        <w:tc>
          <w:tcPr>
            <w:tcW w:w="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KINGSOFT CLOUD HOLDINGS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AND NON-GAAP RESULTS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(All amounts in thousands, except for percentage)</w:t>
      </w:r>
      <w:r>
        <w:rPr>
          <w:rFonts w:ascii="Times New Roman;Times;Serif" w:hAnsi="Times New Roman;Times;Serif"/>
          <w:b w:val="false"/>
          <w:i w:val="false"/>
          <w:caps w:val="false"/>
          <w:smallCaps w:val="false"/>
          <w:sz w:val="20"/>
        </w:rPr>
        <w:t xml:space="preserve">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775"/>
        <w:gridCol w:w="60"/>
        <w:gridCol w:w="755"/>
        <w:gridCol w:w="80"/>
        <w:gridCol w:w="60"/>
        <w:gridCol w:w="755"/>
        <w:gridCol w:w="80"/>
        <w:gridCol w:w="60"/>
        <w:gridCol w:w="845"/>
        <w:gridCol w:w="80"/>
        <w:gridCol w:w="60"/>
        <w:gridCol w:w="695"/>
        <w:gridCol w:w="80"/>
        <w:gridCol w:w="60"/>
        <w:gridCol w:w="845"/>
        <w:gridCol w:w="80"/>
        <w:gridCol w:w="60"/>
        <w:gridCol w:w="845"/>
        <w:gridCol w:w="80"/>
        <w:gridCol w:w="60"/>
        <w:gridCol w:w="695"/>
        <w:gridCol w:w="95"/>
      </w:tblGrid>
      <w:tr>
        <w:trPr/>
        <w:tc>
          <w:tcPr>
            <w:tcW w:w="3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7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65"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 31,</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(456,863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(343,720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(92,977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(13,702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(772,973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(436,697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(64,363</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37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77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Share-based compensation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116,856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57,260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251,467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119,831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17,661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7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Foreign exchange loss (gain)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(24,106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loss (Non-GAAP Financial Measure)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(300,481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(237,143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(59,823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(491,031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(296,966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(43,769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77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(8,541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7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Interest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124,669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153,595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166,766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207,566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320,361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47,215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7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7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591,021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858,003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1,002,924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147,813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1,012,922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1,860,927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274,267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(Non-GAAP Financial Measure)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406,032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747,506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1,100,454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162,188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724,575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1,847,960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272,354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7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Gain on disposal of 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Excluding gain on disposal of property and equipment, normalized Adjusted EBITDA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400,324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747,506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1,065,430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157,026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716,757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1,812,936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267,192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KINGSOFT CLOUD HOLDINGS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AND NON-GAAP RESULTS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(All amounts in thousands, except for percentage)</w:t>
      </w:r>
      <w:r>
        <w:rPr>
          <w:rFonts w:ascii="Times New Roman;Times;Serif" w:hAnsi="Times New Roman;Times;Serif"/>
          <w:b w:val="false"/>
          <w:i w:val="false"/>
          <w:caps w:val="false"/>
          <w:smallCaps w:val="false"/>
          <w:sz w:val="20"/>
        </w:rPr>
        <w:t xml:space="preserve">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235"/>
        <w:gridCol w:w="60"/>
        <w:gridCol w:w="755"/>
        <w:gridCol w:w="80"/>
        <w:gridCol w:w="60"/>
        <w:gridCol w:w="755"/>
        <w:gridCol w:w="80"/>
        <w:gridCol w:w="60"/>
        <w:gridCol w:w="695"/>
        <w:gridCol w:w="80"/>
        <w:gridCol w:w="60"/>
        <w:gridCol w:w="610"/>
        <w:gridCol w:w="80"/>
        <w:gridCol w:w="60"/>
        <w:gridCol w:w="755"/>
        <w:gridCol w:w="80"/>
        <w:gridCol w:w="60"/>
        <w:gridCol w:w="755"/>
        <w:gridCol w:w="80"/>
        <w:gridCol w:w="60"/>
        <w:gridCol w:w="650"/>
        <w:gridCol w:w="95"/>
      </w:tblGrid>
      <w:tr>
        <w:trPr/>
        <w:tc>
          <w:tcPr>
            <w:tcW w:w="4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3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40"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 31,</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(326,987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(166,108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22,999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(561,188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(143,109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(21,093</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2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Share-based compensation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116,856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57,260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251,467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119,831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17,661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Amortization of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87,532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87,422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12,884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operating (loss) profit (Non-GAAP Financial Measure)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(166,380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(59,817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123,961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(222,189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9,452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35"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Gain on disposal of 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Excluding gain on disposal of property and equipment, normalized Adjusted operating (loss)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(172,088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(59,817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88,937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(230,007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KINGSOFT CLOUD HOLDINGS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AND NON-GAAP RESULTS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(All amounts in thousands, except for percentage)</w:t>
      </w:r>
      <w:r>
        <w:rPr>
          <w:rFonts w:ascii="Times New Roman;Times;Serif" w:hAnsi="Times New Roman;Times;Serif"/>
          <w:b w:val="false"/>
          <w:i w:val="false"/>
          <w:caps w:val="false"/>
          <w:smallCaps w:val="false"/>
          <w:sz w:val="20"/>
        </w:rPr>
        <w:t xml:space="preserve">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659"/>
        <w:gridCol w:w="60"/>
        <w:gridCol w:w="619"/>
        <w:gridCol w:w="215"/>
        <w:gridCol w:w="60"/>
        <w:gridCol w:w="674"/>
        <w:gridCol w:w="215"/>
        <w:gridCol w:w="60"/>
        <w:gridCol w:w="619"/>
        <w:gridCol w:w="215"/>
        <w:gridCol w:w="60"/>
        <w:gridCol w:w="621"/>
        <w:gridCol w:w="215"/>
        <w:gridCol w:w="60"/>
        <w:gridCol w:w="621"/>
        <w:gridCol w:w="232"/>
      </w:tblGrid>
      <w:tr>
        <w:trPr/>
        <w:tc>
          <w:tcPr>
            <w:tcW w:w="56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62"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17"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2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5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2025</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 31,</w:t>
              <w:br/>
              <w:t>2026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1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2025</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2026</w:t>
            </w:r>
          </w:p>
        </w:tc>
        <w:tc>
          <w:tcPr>
            <w:tcW w:w="2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5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margin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-19.4</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-12.7</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-17.9</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w:t>
            </w:r>
          </w:p>
        </w:tc>
        <w:tc>
          <w:tcPr>
            <w:tcW w:w="23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65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net loss margin (Non-GAAP Financial Measure)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-11.4</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w:t>
            </w:r>
          </w:p>
        </w:tc>
        <w:tc>
          <w:tcPr>
            <w:tcW w:w="23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65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 margin (Non-GAAP Financial Measure)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17.3</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27.6</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35.8</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16.8</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32.0</w:t>
            </w:r>
          </w:p>
        </w:tc>
        <w:tc>
          <w:tcPr>
            <w:tcW w:w="23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65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Normalized Adjusted EBITDA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17.0</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27.6</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34.7</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16.6</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31.4</w:t>
            </w:r>
          </w:p>
        </w:tc>
        <w:tc>
          <w:tcPr>
            <w:tcW w:w="23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65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operating (loss) profit margin (Non-GAAP Financial Measure)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23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65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Normalized Adjusted operating (loss) profit margin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0.5</w:t>
            </w:r>
          </w:p>
        </w:tc>
        <w:tc>
          <w:tcPr>
            <w:tcW w:w="23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20"/>
        <w:gridCol w:w="60"/>
        <w:gridCol w:w="845"/>
        <w:gridCol w:w="80"/>
        <w:gridCol w:w="60"/>
        <w:gridCol w:w="905"/>
        <w:gridCol w:w="80"/>
        <w:gridCol w:w="60"/>
        <w:gridCol w:w="905"/>
        <w:gridCol w:w="80"/>
        <w:gridCol w:w="60"/>
        <w:gridCol w:w="755"/>
        <w:gridCol w:w="95"/>
      </w:tblGrid>
      <w:tr>
        <w:trPr/>
        <w:tc>
          <w:tcPr>
            <w:tcW w:w="10205" w:type="dxa"/>
            <w:gridSpan w:val="13"/>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KINGSOFT CLOUD HOLDINGS LIMITED</w:t>
            </w:r>
          </w:p>
        </w:tc>
      </w:tr>
      <w:tr>
        <w:trPr/>
        <w:tc>
          <w:tcPr>
            <w:tcW w:w="10205" w:type="dxa"/>
            <w:gridSpan w:val="13"/>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tc>
      </w:tr>
      <w:tr>
        <w:trPr/>
        <w:tc>
          <w:tcPr>
            <w:tcW w:w="10205" w:type="dxa"/>
            <w:gridSpan w:val="13"/>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w:t>
            </w:r>
          </w:p>
        </w:tc>
      </w:tr>
      <w:tr>
        <w:trPr/>
        <w:tc>
          <w:tcPr>
            <w:tcW w:w="6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3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 31,</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 30,</w:t>
              <w:b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2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generated from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1,460,134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533,978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2,850,866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420,166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(887,832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(1,630,049</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(2,912,812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(429,295</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2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generated from (used in)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2,552,561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(109,637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(16,158</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changes on cash,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(78,078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(49,818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(7,343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increase (decrease) in cash, cash equivalents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3,130,784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(1,166,543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(221,401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(32,630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at beginning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2,386,344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6,117,237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4,950,694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729,642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cash equivalents and restricted cash at end of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5,517,128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4,950,694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4,729,293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697,012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4098</Words>
  <Characters>23483</Characters>
  <CharactersWithSpaces>28340</CharactersWithSpaces>
  <Paragraphs>2774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