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January 2023</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001-39278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Kingsoft Cloud Holdings Limited</w:t>
      </w:r>
    </w:p>
    <w:p>
      <w:pPr>
        <w:spacing w:after="0" w:line="58"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Building E, Xiaomi Science and Technology Park, No. 33 Xierqi Middle Road,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Haidian District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Beijing, 100085, the 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6" w:lineRule="exact"/>
        <w:rPr>
          <w:sz w:val="24"/>
          <w:szCs w:val="24"/>
          <w:color w:val="auto"/>
        </w:rPr>
      </w:pPr>
    </w:p>
    <w:p>
      <w:pPr>
        <w:ind w:left="4140"/>
        <w:spacing w:after="0" w:line="207" w:lineRule="exact"/>
        <w:tabs>
          <w:tab w:leader="none" w:pos="61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ind w:left="8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Announcement on The Stock Exchange of Hong Kong Limited Regarding Liquidity Arrangements, dated January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52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Kingsoft Cloud Holdings Limited</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20, 2023</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Haijian He</w:t>
            </w:r>
          </w:p>
        </w:tc>
      </w:tr>
      <w:tr>
        <w:trPr>
          <w:trHeight w:val="191"/>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Haijian He</w:t>
            </w:r>
          </w:p>
        </w:tc>
      </w:tr>
      <w:tr>
        <w:trPr>
          <w:trHeight w:val="234"/>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Director</w:t>
            </w:r>
          </w:p>
        </w:tc>
      </w:tr>
      <w:tr>
        <w:trPr>
          <w:trHeight w:val="675"/>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The Stock Exchange of Hong Kong Limited (the “</w:t>
      </w:r>
      <w:r>
        <w:rPr>
          <w:rFonts w:ascii="Times New Roman" w:cs="Times New Roman" w:eastAsia="Times New Roman" w:hAnsi="Times New Roman"/>
          <w:sz w:val="18"/>
          <w:szCs w:val="18"/>
          <w:b w:val="1"/>
          <w:bCs w:val="1"/>
          <w:i w:val="1"/>
          <w:iCs w:val="1"/>
          <w:color w:val="auto"/>
        </w:rPr>
        <w:t>Hong Kong Stock Exchange</w:t>
      </w:r>
      <w:r>
        <w:rPr>
          <w:rFonts w:ascii="Times New Roman" w:cs="Times New Roman" w:eastAsia="Times New Roman" w:hAnsi="Times New Roman"/>
          <w:sz w:val="18"/>
          <w:szCs w:val="18"/>
          <w:i w:val="1"/>
          <w:iCs w:val="1"/>
          <w:color w:val="auto"/>
        </w:rPr>
        <w:t>”) and Hong Kong Securities Clearing Company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17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This announcement is for information purposes only and does not constitute an offer or an invitation by any person to acquire, purchase or subscribe for shares or other securities of Kingsoft Cloud Holdings Limited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 Prospective investors should read the listing document dated December 23, 2022 (the “</w:t>
      </w:r>
      <w:r>
        <w:rPr>
          <w:rFonts w:ascii="Times New Roman" w:cs="Times New Roman" w:eastAsia="Times New Roman" w:hAnsi="Times New Roman"/>
          <w:sz w:val="18"/>
          <w:szCs w:val="18"/>
          <w:b w:val="1"/>
          <w:bCs w:val="1"/>
          <w:i w:val="1"/>
          <w:iCs w:val="1"/>
          <w:color w:val="auto"/>
        </w:rPr>
        <w:t>Listing Document</w:t>
      </w:r>
      <w:r>
        <w:rPr>
          <w:rFonts w:ascii="Times New Roman" w:cs="Times New Roman" w:eastAsia="Times New Roman" w:hAnsi="Times New Roman"/>
          <w:sz w:val="18"/>
          <w:szCs w:val="18"/>
          <w:i w:val="1"/>
          <w:iCs w:val="1"/>
          <w:color w:val="auto"/>
        </w:rPr>
        <w:t>”) issued by the Company for detailed information about the Company.</w:t>
      </w:r>
    </w:p>
    <w:p>
      <w:pPr>
        <w:spacing w:after="0" w:line="17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This announcement is not an offer of securities for sale in the United States. No securities may be offered or sold in the United States absent registration or an exemption from registration. Any public offering of securities in the United States will be made by means of a prospectus that may be obtained from the issuer or the selling securities holder and that will contain detailed information about the company and management, as well as financial statements.</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defined in this announcement, capitalized terms in this announcement shall have the same meanings as those defined in the Listing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113030</wp:posOffset>
            </wp:positionV>
            <wp:extent cx="6858000" cy="1671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00" cy="167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34" w:lineRule="exact"/>
        <w:rPr>
          <w:sz w:val="20"/>
          <w:szCs w:val="20"/>
          <w:color w:val="auto"/>
        </w:rPr>
      </w:pPr>
    </w:p>
    <w:p>
      <w:pPr>
        <w:ind w:left="4820"/>
        <w:spacing w:after="0" w:line="206" w:lineRule="exact"/>
        <w:rPr>
          <w:sz w:val="20"/>
          <w:szCs w:val="20"/>
          <w:color w:val="auto"/>
        </w:rPr>
      </w:pPr>
      <w:r>
        <w:rPr>
          <w:rFonts w:ascii="SimSun" w:cs="SimSun" w:eastAsia="SimSun" w:hAnsi="SimSun"/>
          <w:sz w:val="18"/>
          <w:szCs w:val="18"/>
          <w:color w:val="auto"/>
          <w:highlight w:val="black"/>
        </w:rPr>
        <w:t>金山云控股有限公</w:t>
      </w:r>
      <w:r>
        <w:rPr>
          <w:rFonts w:ascii="SimSun" w:cs="SimSun" w:eastAsia="SimSun" w:hAnsi="SimSun"/>
          <w:sz w:val="18"/>
          <w:szCs w:val="18"/>
          <w:u w:val="single" w:color="auto"/>
          <w:color w:val="auto"/>
          <w:highlight w:val="black"/>
        </w:rPr>
        <w:t>司</w:t>
      </w:r>
    </w:p>
    <w:p>
      <w:pPr>
        <w:spacing w:after="0" w:line="2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(Stock Code: 3896)</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(Nasdaq Stock Ticker: KC)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LISTING BY WAY OF INTRODUCTION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ON THE MAIN BOARD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STOCK EXCHANGE OF HONG KONG LIMITED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Arrangements regarding the Average Daily Trading Volume of the Shares on the Hong Kong Stock Exchange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Joint Sponsors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19685</wp:posOffset>
            </wp:positionV>
            <wp:extent cx="6858000" cy="48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Joint Financial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156845</wp:posOffset>
            </wp:positionV>
            <wp:extent cx="6858000" cy="5740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0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1195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1195705"/>
                    </a:xfrm>
                    <a:prstGeom prst="rect">
                      <a:avLst/>
                    </a:prstGeom>
                    <a:noFill/>
                  </pic:spPr>
                </pic:pic>
              </a:graphicData>
            </a:graphic>
          </wp:anchor>
        </w:drawing>
        <w:t>The Company issues this announcement to provide updates on the average daily trading volume of its Shares on the Hong Kong Stock Exchange.</w:t>
      </w:r>
    </w:p>
    <w:p>
      <w:pPr>
        <w:spacing w:after="0" w:line="225" w:lineRule="exact"/>
        <w:rPr>
          <w:sz w:val="20"/>
          <w:szCs w:val="20"/>
          <w:color w:val="auto"/>
        </w:rPr>
      </w:pPr>
    </w:p>
    <w:p>
      <w:pPr>
        <w:jc w:val="both"/>
        <w:ind w:left="80" w:right="80"/>
        <w:spacing w:after="0" w:line="256" w:lineRule="auto"/>
        <w:rPr>
          <w:sz w:val="20"/>
          <w:szCs w:val="20"/>
          <w:color w:val="auto"/>
        </w:rPr>
      </w:pPr>
      <w:r>
        <w:rPr>
          <w:rFonts w:ascii="Times New Roman" w:cs="Times New Roman" w:eastAsia="Times New Roman" w:hAnsi="Times New Roman"/>
          <w:sz w:val="18"/>
          <w:szCs w:val="18"/>
          <w:color w:val="auto"/>
        </w:rPr>
        <w:t>Prospective investors should refer to the Listing Document (including the section headed “Risk Factors” contained in the Listing Document), the formal notice dated December 23, 2022 (the “</w:t>
      </w:r>
      <w:r>
        <w:rPr>
          <w:rFonts w:ascii="Times New Roman" w:cs="Times New Roman" w:eastAsia="Times New Roman" w:hAnsi="Times New Roman"/>
          <w:sz w:val="18"/>
          <w:szCs w:val="18"/>
          <w:b w:val="1"/>
          <w:bCs w:val="1"/>
          <w:color w:val="auto"/>
        </w:rPr>
        <w:t>Formal Notice</w:t>
      </w:r>
      <w:r>
        <w:rPr>
          <w:rFonts w:ascii="Times New Roman" w:cs="Times New Roman" w:eastAsia="Times New Roman" w:hAnsi="Times New Roman"/>
          <w:sz w:val="18"/>
          <w:szCs w:val="18"/>
          <w:color w:val="auto"/>
        </w:rPr>
        <w:t>”), the announcement regarding clarification on Formal Notice dated December 28, 2022 (the “</w:t>
      </w:r>
      <w:r>
        <w:rPr>
          <w:rFonts w:ascii="Times New Roman" w:cs="Times New Roman" w:eastAsia="Times New Roman" w:hAnsi="Times New Roman"/>
          <w:sz w:val="18"/>
          <w:szCs w:val="18"/>
          <w:b w:val="1"/>
          <w:bCs w:val="1"/>
          <w:color w:val="auto"/>
        </w:rPr>
        <w:t>December 28 Announcement</w:t>
      </w:r>
      <w:r>
        <w:rPr>
          <w:rFonts w:ascii="Times New Roman" w:cs="Times New Roman" w:eastAsia="Times New Roman" w:hAnsi="Times New Roman"/>
          <w:sz w:val="18"/>
          <w:szCs w:val="18"/>
          <w:color w:val="auto"/>
        </w:rPr>
        <w:t>”), the announcement regarding previous trading day trading information in respect of the ADSs on the Nasdaq dated December 30, 2022 (the “</w:t>
      </w:r>
      <w:r>
        <w:rPr>
          <w:rFonts w:ascii="Times New Roman" w:cs="Times New Roman" w:eastAsia="Times New Roman" w:hAnsi="Times New Roman"/>
          <w:sz w:val="18"/>
          <w:szCs w:val="18"/>
          <w:b w:val="1"/>
          <w:bCs w:val="1"/>
          <w:color w:val="auto"/>
        </w:rPr>
        <w:t>December 30 Announcement</w:t>
      </w:r>
      <w:r>
        <w:rPr>
          <w:rFonts w:ascii="Times New Roman" w:cs="Times New Roman" w:eastAsia="Times New Roman" w:hAnsi="Times New Roman"/>
          <w:sz w:val="18"/>
          <w:szCs w:val="18"/>
          <w:color w:val="auto"/>
        </w:rPr>
        <w:t>”) and the announcement regarding liquidity arrangements regarding the average daily trading volume of the Shares on the Hong Kong Stock Exchange dated January 6, 2023 and January 13, 2023 (the “</w:t>
      </w:r>
      <w:r>
        <w:rPr>
          <w:rFonts w:ascii="Times New Roman" w:cs="Times New Roman" w:eastAsia="Times New Roman" w:hAnsi="Times New Roman"/>
          <w:sz w:val="18"/>
          <w:szCs w:val="18"/>
          <w:b w:val="1"/>
          <w:bCs w:val="1"/>
          <w:color w:val="auto"/>
        </w:rPr>
        <w:t>Weekly Liquidity Announcements</w:t>
      </w:r>
      <w:r>
        <w:rPr>
          <w:rFonts w:ascii="Times New Roman" w:cs="Times New Roman" w:eastAsia="Times New Roman" w:hAnsi="Times New Roman"/>
          <w:sz w:val="18"/>
          <w:szCs w:val="18"/>
          <w:color w:val="auto"/>
        </w:rPr>
        <w:t>”) issued by the Company before deciding to invest in the Shares or the ADSs.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refer to the Listing Document, the Formal Notice, the December 28 Announcement, the December 30 Announcement and the Weekly Liquidity Announcements issued by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the date of this announcement, the total number of issued Shares i</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 3,805,284,80</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LIQUIDITY ARRANGEMENTS REGARDING THE AVERAGE DAILY TRADING VOLUME OF OUR SHARES ON THE HONG KONG STOCK EXCHANGE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Dealings in our Shares on the Hong Kong Stock Exchange commenced on December 30, 2022.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stated in the section headed “Listings, Registration, Dealings and Settlement” in the Listing Document, the Designated Period is 90 calendar days from and including the Listing Date, in which trading activities can be carried out from the Pre-opening Session (as defined in the Rules of the Exchange) on December 30, 2022 and expiring upon the end of the Closing Auction Session (as defined in the Rules of the Exchange) on March 29,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average daily trading volume and average daily turnover of our Shares on the Hong Kong Stock Exchange from January 16, 2023 to January 20,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Average daily</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trading volume</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of our Shares</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(as a percentage</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6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Average daily</w:t>
            </w:r>
          </w:p>
        </w:tc>
        <w:tc>
          <w:tcPr>
            <w:tcW w:w="180" w:type="dxa"/>
            <w:vAlign w:val="bottom"/>
          </w:tcPr>
          <w:p>
            <w:pPr>
              <w:spacing w:after="0"/>
              <w:rPr>
                <w:sz w:val="18"/>
                <w:szCs w:val="18"/>
                <w:color w:val="auto"/>
              </w:rPr>
            </w:pP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 daily</w:t>
            </w:r>
          </w:p>
        </w:tc>
        <w:tc>
          <w:tcPr>
            <w:tcW w:w="2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of the total</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6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trading volume</w:t>
            </w:r>
          </w:p>
        </w:tc>
        <w:tc>
          <w:tcPr>
            <w:tcW w:w="180" w:type="dxa"/>
            <w:vAlign w:val="bottom"/>
          </w:tcPr>
          <w:p>
            <w:pPr>
              <w:spacing w:after="0"/>
              <w:rPr>
                <w:sz w:val="18"/>
                <w:szCs w:val="18"/>
                <w:color w:val="auto"/>
              </w:rPr>
            </w:pPr>
          </w:p>
        </w:tc>
        <w:tc>
          <w:tcPr>
            <w:tcW w:w="2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turnover of</w:t>
            </w:r>
          </w:p>
        </w:tc>
        <w:tc>
          <w:tcPr>
            <w:tcW w:w="2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issued share</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6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 our Shares</w:t>
            </w:r>
          </w:p>
        </w:tc>
        <w:tc>
          <w:tcPr>
            <w:tcW w:w="180" w:type="dxa"/>
            <w:vAlign w:val="bottom"/>
          </w:tcPr>
          <w:p>
            <w:pPr>
              <w:spacing w:after="0"/>
              <w:rPr>
                <w:sz w:val="18"/>
                <w:szCs w:val="18"/>
                <w:color w:val="auto"/>
              </w:rPr>
            </w:pPr>
          </w:p>
        </w:tc>
        <w:tc>
          <w:tcPr>
            <w:tcW w:w="2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our Shares</w:t>
            </w:r>
          </w:p>
        </w:tc>
        <w:tc>
          <w:tcPr>
            <w:tcW w:w="2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capital of the</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6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8"/>
                <w:szCs w:val="18"/>
                <w:color w:val="auto"/>
              </w:rPr>
            </w:pPr>
          </w:p>
        </w:tc>
        <w:tc>
          <w:tcPr>
            <w:tcW w:w="2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38"/>
        </w:trPr>
        <w:tc>
          <w:tcPr>
            <w:tcW w:w="2920" w:type="dxa"/>
            <w:vAlign w:val="bottom"/>
            <w:tcBorders>
              <w:bottom w:val="single" w:sz="8" w:color="CCEEFF"/>
            </w:tcBorders>
          </w:tcPr>
          <w:p>
            <w:pPr>
              <w:spacing w:after="0"/>
              <w:rPr>
                <w:sz w:val="20"/>
                <w:szCs w:val="20"/>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(HK$)</w:t>
            </w:r>
          </w:p>
        </w:tc>
        <w:tc>
          <w:tcPr>
            <w:tcW w:w="220" w:type="dxa"/>
            <w:vAlign w:val="bottom"/>
            <w:tcBorders>
              <w:bottom w:val="single" w:sz="8" w:color="CCEEFF"/>
            </w:tcBorders>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9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January 16, 2023 to January 20,</w:t>
            </w:r>
          </w:p>
        </w:tc>
        <w:tc>
          <w:tcPr>
            <w:tcW w:w="2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7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9,043,600</w:t>
            </w:r>
          </w:p>
        </w:tc>
        <w:tc>
          <w:tcPr>
            <w:tcW w:w="2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22.54</w:t>
            </w:r>
          </w:p>
        </w:tc>
        <w:tc>
          <w:tcPr>
            <w:tcW w:w="27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9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72"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As stated in the section headed “Listings, Registration, Dealings and Settlement” in the Listing Document, the December 30 Announcement and Weekly Liquidity Announcements, the Company will release further announcements on liquidity arrangements regarding the accumulated average daily trading volume of our Shares on the Hong Kong Stock Exchange on a weekly basis during the Designated Period.</w:t>
      </w:r>
    </w:p>
    <w:p>
      <w:pPr>
        <w:spacing w:after="0" w:line="176"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b w:val="1"/>
          <w:bCs w:val="1"/>
          <w:color w:val="auto"/>
        </w:rPr>
        <w:t>Kingsoft Cloud Holdings Limited</w:t>
      </w:r>
    </w:p>
    <w:p>
      <w:pPr>
        <w:spacing w:after="0" w:line="9"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b w:val="1"/>
          <w:bCs w:val="1"/>
          <w:color w:val="auto"/>
        </w:rPr>
        <w:t>Mr. Zou Tao</w:t>
      </w:r>
    </w:p>
    <w:p>
      <w:pPr>
        <w:spacing w:after="0" w:line="9"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i w:val="1"/>
          <w:iCs w:val="1"/>
          <w:color w:val="auto"/>
        </w:rPr>
        <w:t>Executive Director, Vice Chairman of the Board</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i w:val="1"/>
          <w:iCs w:val="1"/>
          <w:color w:val="auto"/>
        </w:rPr>
        <w:t>and acting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January 20, 2023</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of directors of the Company comprises Mr. Lei Jun as Chairman and non-executive director, Mr. Zou Tao as Vice Chairman and executive director, Mr. He Haijian as executive director and Dr. Ye Hangjun as non-executive director, and Mr. Yu Mingto, Mr. Wang Hang and Ms. Qu Jingyuan as independent non-executive directors.</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2023-01-20T15:05:02Z</dcterms:created>
  <dcterms:modified xsi:type="dcterms:W3CDTF">2023-01-20T15:05:02Z</dcterms:modified>
</cp:coreProperties>
</file>