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294640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328930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SECURITIES AND EXCHANGE COMMISSION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141605</wp:posOffset>
            </wp:positionV>
            <wp:extent cx="178308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5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161290</wp:posOffset>
            </wp:positionV>
            <wp:extent cx="178308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REPORT OF FOREIGN ISSUER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PURSUANT TO RULE 13a-16 OR 15d-16 OF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THE SECURITIES EXCHANGE ACT OF 1934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 the month of April 2026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 file number: 001-39278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156845</wp:posOffset>
            </wp:positionV>
            <wp:extent cx="17830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Kingsoft Cloud Holdings Limited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3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141605</wp:posOffset>
            </wp:positionV>
            <wp:extent cx="178308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Building D, Xiaomi Science and Technology Park, No. 33 Xierqi Middle Road,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Haidian District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Beijing, 100085, the People’s Republic of China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142875</wp:posOffset>
            </wp:positionV>
            <wp:extent cx="17830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whether the registrant files or will file annual reports under cover Form 20-F or Form 40-F.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left="4440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Form 20-F 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             Form 40-F 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180340</wp:posOffset>
            </wp:positionV>
            <wp:extent cx="71323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206375</wp:posOffset>
            </wp:positionV>
            <wp:extent cx="7132320" cy="171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635000</wp:posOffset>
            </wp:positionV>
            <wp:extent cx="713232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18" w:right="1440" w:bottom="144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EXHIBIT INDEX</w:t>
            </w:r>
          </w:p>
        </w:tc>
      </w:tr>
      <w:tr>
        <w:trPr>
          <w:trHeight w:val="43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Exhibit No.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Description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91"/>
        </w:trPr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  <w:w w:val="95"/>
              </w:rPr>
              <w:t>99.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u w:val="single" w:color="auto"/>
                <w:color w:val="0000EE"/>
                <w:w w:val="95"/>
              </w:rPr>
              <w:t>1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  <w:w w:val="99"/>
              </w:rPr>
              <w:t>Kingsoft Cloud Holdings Limited 2025</w:t>
            </w:r>
          </w:p>
        </w:tc>
        <w:tc>
          <w:tcPr>
            <w:tcW w:w="1980" w:type="dxa"/>
            <w:vAlign w:val="bottom"/>
            <w:tcBorders>
              <w:bottom w:val="single" w:sz="8" w:color="0000EE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  <w:w w:val="99"/>
              </w:rPr>
              <w:t>Hong Kong Annual Report</w:t>
            </w:r>
          </w:p>
        </w:tc>
        <w:tc>
          <w:tcPr>
            <w:tcW w:w="526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96"/>
        </w:trPr>
        <w:tc>
          <w:tcPr>
            <w:tcW w:w="320" w:type="dxa"/>
            <w:vAlign w:val="bottom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  <w:w w:val="95"/>
              </w:rPr>
              <w:t>99.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u w:val="single" w:color="auto"/>
                <w:color w:val="0000EE"/>
                <w:w w:val="95"/>
              </w:rPr>
              <w:t>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  <w:w w:val="99"/>
              </w:rPr>
              <w:t>Kingsoft Cloud Holdings Limited 2025</w:t>
            </w:r>
          </w:p>
        </w:tc>
        <w:tc>
          <w:tcPr>
            <w:tcW w:w="7240" w:type="dxa"/>
            <w:vAlign w:val="bottom"/>
            <w:gridSpan w:val="3"/>
          </w:tcPr>
          <w:p>
            <w:pPr>
              <w:ind w:left="2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</w:rPr>
              <w:t>Environmental, Social and Governance Report</w:t>
            </w:r>
          </w:p>
        </w:tc>
      </w:tr>
      <w:tr>
        <w:trPr>
          <w:trHeight w:val="696"/>
        </w:trPr>
        <w:tc>
          <w:tcPr>
            <w:tcW w:w="32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240"/>
          </w:cols>
          <w:pgMar w:left="320" w:top="900" w:right="33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640" w:firstLine="324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80" w:type="dxa"/>
            <w:vAlign w:val="bottom"/>
            <w:gridSpan w:val="2"/>
          </w:tcPr>
          <w:p>
            <w:pPr>
              <w:ind w:left="2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Kingsoft Cloud Holdings Limited</w:t>
            </w:r>
          </w:p>
        </w:tc>
      </w:tr>
      <w:tr>
        <w:trPr>
          <w:trHeight w:val="432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Date: April 23, 2026</w:t>
            </w:r>
          </w:p>
        </w:tc>
        <w:tc>
          <w:tcPr>
            <w:tcW w:w="7680" w:type="dxa"/>
            <w:vAlign w:val="bottom"/>
            <w:gridSpan w:val="2"/>
          </w:tcPr>
          <w:p>
            <w:pPr>
              <w:ind w:left="2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By: /s/ Yi Li</w:t>
            </w:r>
          </w:p>
        </w:tc>
      </w:tr>
      <w:tr>
        <w:trPr>
          <w:trHeight w:val="191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60" w:type="dxa"/>
            <w:vAlign w:val="bottom"/>
            <w:tcBorders>
              <w:top w:val="single" w:sz="8" w:color="auto"/>
            </w:tcBorders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Name: Yi Li</w:t>
            </w:r>
          </w:p>
        </w:tc>
      </w:tr>
      <w:tr>
        <w:trPr>
          <w:trHeight w:val="234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Title:  Chief Financial Officer</w:t>
            </w:r>
          </w:p>
        </w:tc>
      </w:tr>
      <w:tr>
        <w:trPr>
          <w:trHeight w:val="648"/>
        </w:trPr>
        <w:tc>
          <w:tcPr>
            <w:tcW w:w="3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240"/>
      </w:cols>
      <w:pgMar w:left="320" w:top="900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2026-04-23T07:53:40Z</dcterms:created>
  <dcterms:modified xsi:type="dcterms:W3CDTF">2026-04-23T07:53:40Z</dcterms:modified>
</cp:coreProperties>
</file>