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439d1_6k.htm"/>
      <w:bookmarkStart w:id="1" w:name="kstm2623439d1_6k"/>
      <w:bookmarkEnd w:id="0"/>
      <w:bookmarkEnd w:id="1"/>
      <w:r>
        <w:rPr/>
        <w:t> </w:t>
      </w:r>
    </w:p>
    <w:p>
      <w:pPr>
        <w:pStyle w:val="TextBody"/>
        <w:bidi w:val="0"/>
        <w:spacing w:before="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001-39278</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Kingsoft Cloud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D, Xiaomi Science and Technology Park, No. 33 Xierqi Middle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Haidian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100085, the 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1205"/>
        <w:gridCol w:w="8690"/>
      </w:tblGrid>
      <w:tr>
        <w:trPr/>
        <w:tc>
          <w:tcPr>
            <w:tcW w:w="1205" w:type="dxa"/>
            <w:tcBorders/>
            <w:vAlign w:val="center"/>
          </w:tcPr>
          <w:p>
            <w:pPr>
              <w:pStyle w:val="TableContents"/>
              <w:bidi w:val="0"/>
              <w:spacing w:before="0" w:after="283"/>
              <w:jc w:val="left"/>
              <w:rPr>
                <w:b/>
              </w:rPr>
            </w:pPr>
            <w:r>
              <w:rPr>
                <w:b/>
              </w:rPr>
              <w:t>Exhibit No.</w:t>
            </w:r>
          </w:p>
        </w:tc>
        <w:tc>
          <w:tcPr>
            <w:tcW w:w="8690" w:type="dxa"/>
            <w:tcBorders/>
            <w:vAlign w:val="center"/>
          </w:tcPr>
          <w:p>
            <w:pPr>
              <w:pStyle w:val="TableContents"/>
              <w:bidi w:val="0"/>
              <w:spacing w:before="0" w:after="283"/>
              <w:jc w:val="left"/>
              <w:rPr>
                <w:b/>
              </w:rPr>
            </w:pPr>
            <w:r>
              <w:rPr>
                <w:b/>
              </w:rPr>
              <w:t>Description</w:t>
            </w:r>
          </w:p>
        </w:tc>
      </w:tr>
      <w:tr>
        <w:trPr/>
        <w:tc>
          <w:tcPr>
            <w:tcW w:w="1205"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hyperlink w:anchor="tm2623439d1_ex99-1.htm">
              <w:r>
                <w:rPr>
                  <w:rStyle w:val="InternetLink"/>
                </w:rPr>
                <w:t>99.1</w:t>
              </w:r>
            </w:hyperlink>
          </w:p>
        </w:tc>
        <w:tc>
          <w:tcPr>
            <w:tcW w:w="8690" w:type="dxa"/>
            <w:tcBorders/>
            <w:vAlign w:val="center"/>
          </w:tcPr>
          <w:p>
            <w:pPr>
              <w:pStyle w:val="TableContents"/>
              <w:bidi w:val="0"/>
              <w:spacing w:before="0" w:after="283"/>
              <w:jc w:val="left"/>
              <w:rPr/>
            </w:pPr>
            <w:hyperlink w:anchor="tm2623439d1_ex99-1.htm">
              <w:r>
                <w:rPr>
                  <w:rStyle w:val="InternetLink"/>
                </w:rPr>
                <w:t>Announcement — Interim Results Announcement for the Six Months Ended June 30,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435" w:type="dxa"/>
        <w:jc w:val="left"/>
        <w:tblInd w:w="0" w:type="dxa"/>
        <w:tblLayout w:type="fixed"/>
        <w:tblCellMar>
          <w:top w:w="0" w:type="dxa"/>
          <w:left w:w="0" w:type="dxa"/>
          <w:bottom w:w="0" w:type="dxa"/>
          <w:right w:w="0" w:type="dxa"/>
        </w:tblCellMar>
      </w:tblPr>
      <w:tblGrid>
        <w:gridCol w:w="2195"/>
        <w:gridCol w:w="365"/>
        <w:gridCol w:w="650"/>
        <w:gridCol w:w="2225"/>
      </w:tblGrid>
      <w:tr>
        <w:trPr/>
        <w:tc>
          <w:tcPr>
            <w:tcW w:w="2195" w:type="dxa"/>
            <w:tcBorders/>
            <w:vAlign w:val="center"/>
          </w:tcPr>
          <w:p>
            <w:pPr>
              <w:pStyle w:val="TableContents"/>
              <w:bidi w:val="0"/>
              <w:spacing w:before="0" w:after="283"/>
              <w:jc w:val="left"/>
              <w:rPr/>
            </w:pPr>
            <w:r>
              <w:rPr/>
              <w:t> </w:t>
            </w:r>
          </w:p>
        </w:tc>
        <w:tc>
          <w:tcPr>
            <w:tcW w:w="3240" w:type="dxa"/>
            <w:gridSpan w:val="3"/>
            <w:tcBorders/>
            <w:vAlign w:val="center"/>
          </w:tcPr>
          <w:p>
            <w:pPr>
              <w:pStyle w:val="TableContents"/>
              <w:bidi w:val="0"/>
              <w:spacing w:before="0" w:after="283"/>
              <w:jc w:val="both"/>
              <w:rPr/>
            </w:pPr>
            <w:r>
              <w:rPr/>
              <w:t>Kingsoft Cloud Holdings Limited</w:t>
            </w:r>
          </w:p>
        </w:tc>
      </w:tr>
      <w:tr>
        <w:trPr/>
        <w:tc>
          <w:tcPr>
            <w:tcW w:w="2195" w:type="dxa"/>
            <w:tcBorders/>
            <w:vAlign w:val="center"/>
          </w:tcPr>
          <w:p>
            <w:pPr>
              <w:pStyle w:val="TableContents"/>
              <w:bidi w:val="0"/>
              <w:spacing w:before="0" w:after="283"/>
              <w:jc w:val="left"/>
              <w:rPr/>
            </w:pPr>
            <w:r>
              <w:rPr/>
              <w:t> </w:t>
            </w:r>
          </w:p>
        </w:tc>
        <w:tc>
          <w:tcPr>
            <w:tcW w:w="3240" w:type="dxa"/>
            <w:gridSpan w:val="3"/>
            <w:tcBorders/>
            <w:vAlign w:val="center"/>
          </w:tcPr>
          <w:p>
            <w:pPr>
              <w:pStyle w:val="TableContents"/>
              <w:bidi w:val="0"/>
              <w:spacing w:before="0" w:after="283"/>
              <w:jc w:val="both"/>
              <w:rPr/>
            </w:pPr>
            <w:r>
              <w:rPr/>
              <w:t> </w:t>
            </w:r>
          </w:p>
        </w:tc>
      </w:tr>
      <w:tr>
        <w:trPr/>
        <w:tc>
          <w:tcPr>
            <w:tcW w:w="2195" w:type="dxa"/>
            <w:tcBorders/>
            <w:vAlign w:val="center"/>
          </w:tcPr>
          <w:p>
            <w:pPr>
              <w:pStyle w:val="TableContents"/>
              <w:bidi w:val="0"/>
              <w:spacing w:before="0" w:after="283"/>
              <w:jc w:val="left"/>
              <w:rPr/>
            </w:pPr>
            <w:r>
              <w:rPr/>
              <w:t>Date: August 19, 2026</w:t>
            </w:r>
          </w:p>
        </w:tc>
        <w:tc>
          <w:tcPr>
            <w:tcW w:w="365" w:type="dxa"/>
            <w:tcBorders/>
            <w:vAlign w:val="center"/>
          </w:tcPr>
          <w:p>
            <w:pPr>
              <w:pStyle w:val="TableContents"/>
              <w:bidi w:val="0"/>
              <w:spacing w:before="0" w:after="283"/>
              <w:jc w:val="both"/>
              <w:rPr/>
            </w:pPr>
            <w:r>
              <w:rPr/>
              <w:t>By:</w:t>
            </w:r>
          </w:p>
        </w:tc>
        <w:tc>
          <w:tcPr>
            <w:tcW w:w="2875" w:type="dxa"/>
            <w:gridSpan w:val="2"/>
            <w:tcBorders>
              <w:bottom w:val="single" w:sz="8" w:space="0" w:color="000000"/>
            </w:tcBorders>
            <w:tcMar>
              <w:bottom w:w="28" w:type="dxa"/>
            </w:tcMar>
            <w:vAlign w:val="center"/>
          </w:tcPr>
          <w:p>
            <w:pPr>
              <w:pStyle w:val="TableContents"/>
              <w:bidi w:val="0"/>
              <w:spacing w:before="0" w:after="283"/>
              <w:jc w:val="both"/>
              <w:rPr/>
            </w:pPr>
            <w:r>
              <w:rPr/>
              <w:t>/s/ Yi Li</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2225" w:type="dxa"/>
            <w:tcBorders/>
            <w:vAlign w:val="center"/>
          </w:tcPr>
          <w:p>
            <w:pPr>
              <w:pStyle w:val="TableContents"/>
              <w:bidi w:val="0"/>
              <w:spacing w:before="0" w:after="283"/>
              <w:jc w:val="both"/>
              <w:rPr/>
            </w:pPr>
            <w:r>
              <w:rPr/>
              <w:t>Yi Li</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2225" w:type="dxa"/>
            <w:tcBorders/>
            <w:vAlign w:val="center"/>
          </w:tcPr>
          <w:p>
            <w:pPr>
              <w:pStyle w:val="TableContents"/>
              <w:bidi w:val="0"/>
              <w:spacing w:before="0" w:after="283"/>
              <w:jc w:val="both"/>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 w:name="tm2623439d1_ex99-1.htm"/>
      <w:bookmarkStart w:id="3" w:name="kstm2623439d1_ex991"/>
      <w:bookmarkEnd w:id="2"/>
      <w:bookmarkEnd w:id="3"/>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95262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52625" cy="4476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Kingsoft Cloud Holdings Limited</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金 山 云 控 股 有 限 公 司</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(Incorporated in the Cayman Islands with limited liability)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Code: 3896)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Stock Ticker: KC)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RESULTS ANNOUNCEMENT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directors (the “</w:t>
      </w: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 of Kingsoft Cloud Holdings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is pleased to announce the unaudited interim consolidated results of the Company, its subsidiaries and consolidated affiliated entities (collectively, the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for the six months ended June 30, 2026 (the “</w:t>
      </w:r>
      <w:r>
        <w:rPr>
          <w:rFonts w:ascii="Times New Roman;Times;Serif" w:hAnsi="Times New Roman;Times;Serif"/>
          <w:b/>
          <w:i w:val="false"/>
          <w:caps w:val="false"/>
          <w:smallCaps w:val="false"/>
          <w:sz w:val="20"/>
        </w:rPr>
        <w:t>Reporting Period</w:t>
      </w:r>
      <w:r>
        <w:rPr>
          <w:rFonts w:ascii="Times New Roman;Times;Serif" w:hAnsi="Times New Roman;Times;Serif"/>
          <w:b w:val="false"/>
          <w:i w:val="false"/>
          <w:caps w:val="false"/>
          <w:smallCaps w:val="false"/>
          <w:sz w:val="20"/>
        </w:rPr>
        <w:t>”), together with the comparative figures for the corresponding period in 2025. These unaudited condensed consolidated financial statements for the six months ended June 30, 2026 have been prepared under generally accepted accounting principles in the United States (the “</w:t>
      </w:r>
      <w:r>
        <w:rPr>
          <w:rFonts w:ascii="Times New Roman;Times;Serif" w:hAnsi="Times New Roman;Times;Serif"/>
          <w:b/>
          <w:i w:val="false"/>
          <w:caps w:val="false"/>
          <w:smallCaps w:val="false"/>
          <w:sz w:val="20"/>
        </w:rPr>
        <w:t>U.S. GAAP</w:t>
      </w:r>
      <w:r>
        <w:rPr>
          <w:rFonts w:ascii="Times New Roman;Times;Serif" w:hAnsi="Times New Roman;Times;Serif"/>
          <w:b w:val="false"/>
          <w:i w:val="false"/>
          <w:caps w:val="false"/>
          <w:smallCaps w:val="false"/>
          <w:sz w:val="20"/>
        </w:rPr>
        <w:t>”) and reviewed by the audit committee of the Company (the “</w:t>
      </w:r>
      <w:r>
        <w:rPr>
          <w:rFonts w:ascii="Times New Roman;Times;Serif" w:hAnsi="Times New Roman;Times;Serif"/>
          <w:b/>
          <w:i w:val="false"/>
          <w:caps w:val="false"/>
          <w:smallCaps w:val="false"/>
          <w:sz w:val="20"/>
        </w:rPr>
        <w:t>Audit Committee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announcement, “we”, “us”, and “our” refer to the Company and where the context otherwise requires,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HIGHLIGHTS</w:t>
      </w:r>
    </w:p>
    <w:p>
      <w:pPr>
        <w:pStyle w:val="TextBody"/>
        <w:bidi w:val="0"/>
        <w:spacing w:before="0" w:after="0"/>
        <w:ind w:left="0" w:right="0" w:hanging="0"/>
        <w:jc w:val="left"/>
        <w:rPr>
          <w:caps w:val="false"/>
          <w:smallCaps w:val="false"/>
        </w:rPr>
      </w:pPr>
      <w:r>
        <w:rPr>
          <w:caps w:val="false"/>
          <w:smallCaps w:val="false"/>
        </w:rPr>
        <w:t> </w:t>
      </w:r>
    </w:p>
    <w:tbl>
      <w:tblPr>
        <w:tblW w:w="8150" w:type="dxa"/>
        <w:jc w:val="left"/>
        <w:tblInd w:w="0" w:type="dxa"/>
        <w:tblLayout w:type="fixed"/>
        <w:tblCellMar>
          <w:top w:w="0" w:type="dxa"/>
          <w:left w:w="0" w:type="dxa"/>
          <w:bottom w:w="0" w:type="dxa"/>
          <w:right w:w="0" w:type="dxa"/>
        </w:tblCellMar>
      </w:tblPr>
      <w:tblGrid>
        <w:gridCol w:w="4670"/>
        <w:gridCol w:w="60"/>
        <w:gridCol w:w="60"/>
        <w:gridCol w:w="845"/>
        <w:gridCol w:w="80"/>
        <w:gridCol w:w="60"/>
        <w:gridCol w:w="60"/>
        <w:gridCol w:w="845"/>
        <w:gridCol w:w="80"/>
        <w:gridCol w:w="60"/>
        <w:gridCol w:w="128"/>
        <w:gridCol w:w="942"/>
        <w:gridCol w:w="260"/>
      </w:tblGrid>
      <w:tr>
        <w:trPr/>
        <w:tc>
          <w:tcPr>
            <w:tcW w:w="4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For the six months </w:t>
              <w:br/>
              <w:t>ended 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val="false"/>
                <w:i w:val="false"/>
                <w:caps w:val="false"/>
                <w:smallCaps w:val="false"/>
                <w:sz w:val="20"/>
              </w:rPr>
            </w:pPr>
            <w:r>
              <w:rPr>
                <w:b w:val="false"/>
                <w:i w:val="false"/>
                <w:caps w:val="false"/>
                <w:smallCaps w:val="false"/>
                <w:sz w:val="20"/>
              </w:rPr>
              <w:t>Year-on-year</w:t>
              <w:br/>
              <w:t>Change</w:t>
            </w:r>
          </w:p>
        </w:tc>
        <w:tc>
          <w:tcPr>
            <w:tcW w:w="260" w:type="dxa"/>
            <w:tcBorders/>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4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RMB’000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RMB’000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4,319,204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5,775,698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657,163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811,957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(761,389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(415,109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(772,973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(436,697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Kingsoft Cloud Holdings Limited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(771,391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(436,898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information is prepared in conformity with accounting principles generally accepted in the U.S. In evaluating our business, we have considered and used certain non-GAAP financial measures, including Non-GAAP gross profit, Non-GAAP gross margin, Non-GAAP operating (loss) profit, Non-GAAP operating (loss) profit margin, Non-GAAP EBITDA, Non-GAAP EBITDA margin, Non-GAAP net loss and Non-GAAP net loss margin, as supplemental measures to review and assess our operating performance. The presentation of these non-GAAP financial measures is not intended to be considered in isolation or as a substitute for the financial information prepared and presented in accordance with U.S. GAAP. We present these non-GAAP financial measures because they are used by our management to evaluate our operating performance and formulate business plans. We also believe that the use of these non-GAAP financial measures facilitates investors’ assessment of our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non-GAAP financial measures are not defined under U.S. GAAP and are not presented in accordance with U.S. GAAP. These non-GAAP financial measures have limitations as analytical tools. One of the key limitations of using these non-GAAP financial measures is that they do not reflect all items of income and expense that affect our operations. Further, these non-GAAP financial measures may differ from those used by other companies, including peer companies, and therefore their comparability may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compensate for these limitations by reconciling these non-GAAP financial measures to the nearest U.S. GAAP performance measure, all of which should be considered when evaluating our performance. We encourage you to review our financial information in its entirety and not rely on a single financial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Gross Profit and Adjusted Gross Margin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Non-GAAP gross profit as gross profit excluding share-based compensation allocated in the cost of revenues, and we define Non-GAAP gross margin as Non-GAAP gross profit as a percentage of revenues. The following tables reconcile our Non-GAAP gross profit (margin) (Non-GAAP Financial Measures) for the six months ended June 30, 2025 and 2026 to the most directly comparable financial measures calculated and presented in accordance with U.S. GAAP.</w:t>
      </w:r>
    </w:p>
    <w:p>
      <w:pPr>
        <w:pStyle w:val="TextBody"/>
        <w:bidi w:val="0"/>
        <w:spacing w:before="0" w:after="0"/>
        <w:ind w:left="0" w:right="0" w:hanging="0"/>
        <w:jc w:val="left"/>
        <w:rPr>
          <w:caps w:val="false"/>
          <w:smallCaps w:val="false"/>
        </w:rPr>
      </w:pPr>
      <w:r>
        <w:rPr>
          <w:caps w:val="false"/>
          <w:smallCaps w:val="false"/>
        </w:rPr>
        <w:t> </w:t>
      </w:r>
    </w:p>
    <w:tbl>
      <w:tblPr>
        <w:tblW w:w="8629" w:type="dxa"/>
        <w:jc w:val="left"/>
        <w:tblInd w:w="0" w:type="dxa"/>
        <w:tblLayout w:type="fixed"/>
        <w:tblCellMar>
          <w:top w:w="0" w:type="dxa"/>
          <w:left w:w="0" w:type="dxa"/>
          <w:bottom w:w="0" w:type="dxa"/>
          <w:right w:w="0" w:type="dxa"/>
        </w:tblCellMar>
      </w:tblPr>
      <w:tblGrid>
        <w:gridCol w:w="5630"/>
        <w:gridCol w:w="60"/>
        <w:gridCol w:w="68"/>
        <w:gridCol w:w="796"/>
        <w:gridCol w:w="68"/>
        <w:gridCol w:w="68"/>
        <w:gridCol w:w="68"/>
        <w:gridCol w:w="796"/>
        <w:gridCol w:w="68"/>
        <w:gridCol w:w="68"/>
        <w:gridCol w:w="68"/>
        <w:gridCol w:w="796"/>
        <w:gridCol w:w="75"/>
      </w:tblGrid>
      <w:tr>
        <w:trPr/>
        <w:tc>
          <w:tcPr>
            <w:tcW w:w="5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4"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 June 30,</w:t>
            </w:r>
          </w:p>
        </w:tc>
        <w:tc>
          <w:tcPr>
            <w:tcW w:w="75"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86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8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sz w:val="4"/>
                <w:szCs w:val="4"/>
              </w:rPr>
            </w:pPr>
            <w:r>
              <w:rPr>
                <w:sz w:val="4"/>
                <w:szCs w:val="4"/>
              </w:rPr>
            </w:r>
          </w:p>
        </w:tc>
      </w:tr>
      <w:tr>
        <w:trPr/>
        <w:tc>
          <w:tcPr>
            <w:tcW w:w="5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RMB’000</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8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RMB’000</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8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US$’000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657,163</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811,957</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119,667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Share-based compensation expenses (allocated in cost of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21,077</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11,161</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1,645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30" w:type="dxa"/>
            <w:tcBorders/>
            <w:shd w:fill="FFFFFF" w:val="clear"/>
            <w:vAlign w:val="center"/>
          </w:tcPr>
          <w:p>
            <w:pPr>
              <w:pStyle w:val="TableContents"/>
              <w:bidi w:val="0"/>
              <w:spacing w:before="0" w:after="0"/>
              <w:ind w:left="5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gross profit (Non-GAAP Financial Measure)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678,240</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823,118</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121,312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7633" w:type="dxa"/>
        <w:jc w:val="left"/>
        <w:tblInd w:w="0" w:type="dxa"/>
        <w:tblLayout w:type="fixed"/>
        <w:tblCellMar>
          <w:top w:w="0" w:type="dxa"/>
          <w:left w:w="0" w:type="dxa"/>
          <w:bottom w:w="0" w:type="dxa"/>
          <w:right w:w="0" w:type="dxa"/>
        </w:tblCellMar>
      </w:tblPr>
      <w:tblGrid>
        <w:gridCol w:w="4475"/>
        <w:gridCol w:w="60"/>
        <w:gridCol w:w="153"/>
        <w:gridCol w:w="969"/>
        <w:gridCol w:w="471"/>
        <w:gridCol w:w="153"/>
        <w:gridCol w:w="153"/>
        <w:gridCol w:w="969"/>
        <w:gridCol w:w="230"/>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8"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 June 30,</w:t>
            </w:r>
          </w:p>
        </w:tc>
        <w:tc>
          <w:tcPr>
            <w:tcW w:w="230"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47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23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4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14.1</w:t>
            </w:r>
          </w:p>
        </w:tc>
        <w:tc>
          <w:tcPr>
            <w:tcW w:w="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gross margin (Non-GAAP Financial Measure)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4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14.3</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Net Loss (Margin), Adjusted EBITDA (Margin) and Adjusted Operating (Loss) Profit (Margin)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Non-GAAP net loss as net loss excluding share-based compensation expenses and foreign exchange loss, and we define Non-GAAP net loss margin as Non-GAAP net loss as a percentage of revenues. We define Non-GAAP EBITDA as Non-GAAP net loss excluding interest income, interest expense, income tax expense and depreciation and amortization, and we define Non-GAAP EBITDA margin as Non-GAAP EBITDA as a percentage of revenues. We define Non-GAAP operating (loss) profit as operating loss excluding share-based compensation expenses and amortization of intangible assets, and we define Non-GAAP operating (loss) profit margin as Non-GAAP operating (loss) profit as a percentage of revenues. The following tables reconcile our adjusted net loss (margin) (Non-GAAP Financial Measure), adjusted EBITDA (margin) (Non-GAAP Financial Measure) and adjusted operating (loss) profit (margin) (Non-GAAP Financial Measure) for the six months ended June 30, 2025 and 2026 to the most directly comparable financial measures calculated and presented in accordance with U.S. GAAP.</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27"/>
        <w:gridCol w:w="60"/>
        <w:gridCol w:w="60"/>
        <w:gridCol w:w="855"/>
        <w:gridCol w:w="80"/>
        <w:gridCol w:w="60"/>
        <w:gridCol w:w="60"/>
        <w:gridCol w:w="855"/>
        <w:gridCol w:w="80"/>
        <w:gridCol w:w="60"/>
        <w:gridCol w:w="60"/>
        <w:gridCol w:w="748"/>
        <w:gridCol w:w="100"/>
      </w:tblGrid>
      <w:tr>
        <w:trPr/>
        <w:tc>
          <w:tcPr>
            <w:tcW w:w="71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858" w:type="dxa"/>
            <w:gridSpan w:val="9"/>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 June 30,</w:t>
            </w:r>
          </w:p>
        </w:tc>
        <w:tc>
          <w:tcPr>
            <w:tcW w:w="100" w:type="dxa"/>
            <w:tcBorders/>
            <w:vAlign w:val="center"/>
          </w:tcPr>
          <w:p>
            <w:pPr>
              <w:pStyle w:val="TableContents"/>
              <w:bidi w:val="0"/>
              <w:spacing w:before="0" w:after="283"/>
              <w:jc w:val="left"/>
              <w:rPr/>
            </w:pPr>
            <w:r>
              <w:rPr/>
              <w:t> </w:t>
            </w:r>
          </w:p>
        </w:tc>
      </w:tr>
      <w:tr>
        <w:trPr/>
        <w:tc>
          <w:tcPr>
            <w:tcW w:w="712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center"/>
              <w:rPr>
                <w:b w:val="false"/>
                <w:i w:val="false"/>
                <w:caps w:val="false"/>
                <w:smallCaps w:val="false"/>
                <w:sz w:val="20"/>
              </w:rPr>
            </w:pPr>
            <w:r>
              <w:rPr>
                <w:b w:val="false"/>
                <w:i w:val="false"/>
                <w:caps w:val="false"/>
                <w:smallCaps w:val="false"/>
                <w:sz w:val="20"/>
              </w:rPr>
              <w:t>2025</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2026</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48"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2026</w:t>
            </w:r>
          </w:p>
        </w:tc>
        <w:tc>
          <w:tcPr>
            <w:tcW w:w="100" w:type="dxa"/>
            <w:tcBorders/>
            <w:shd w:fill="FFFFFF" w:val="clear"/>
            <w:vAlign w:val="center"/>
          </w:tcPr>
          <w:p>
            <w:pPr>
              <w:pStyle w:val="TableContents"/>
              <w:bidi w:val="0"/>
              <w:spacing w:before="0" w:after="283"/>
              <w:jc w:val="center"/>
              <w:rPr/>
            </w:pPr>
            <w:r>
              <w:rPr/>
              <w:t> </w:t>
            </w:r>
          </w:p>
        </w:tc>
      </w:tr>
      <w:tr>
        <w:trPr/>
        <w:tc>
          <w:tcPr>
            <w:tcW w:w="712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center"/>
              <w:rPr>
                <w:b w:val="false"/>
                <w:i/>
                <w:sz w:val="20"/>
              </w:rPr>
            </w:pPr>
            <w:r>
              <w:rPr>
                <w:b w:val="false"/>
                <w:i/>
                <w:sz w:val="20"/>
              </w:rPr>
              <w:t>RMB’000</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center"/>
              <w:rPr>
                <w:b/>
                <w:i/>
                <w:sz w:val="20"/>
              </w:rPr>
            </w:pPr>
            <w:r>
              <w:rPr>
                <w:b/>
                <w:i/>
                <w:sz w:val="20"/>
              </w:rPr>
              <w:t>RMB’000</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48" w:type="dxa"/>
            <w:tcBorders>
              <w:bottom w:val="single" w:sz="8" w:space="0" w:color="000000"/>
            </w:tcBorders>
            <w:shd w:fill="FFFFFF" w:val="clear"/>
            <w:tcMar>
              <w:bottom w:w="28" w:type="dxa"/>
            </w:tcMar>
            <w:vAlign w:val="center"/>
          </w:tcPr>
          <w:p>
            <w:pPr>
              <w:pStyle w:val="TableContents"/>
              <w:bidi w:val="0"/>
              <w:spacing w:before="0" w:after="283"/>
              <w:jc w:val="center"/>
              <w:rPr>
                <w:b/>
                <w:i/>
                <w:sz w:val="20"/>
              </w:rPr>
            </w:pPr>
            <w:r>
              <w:rPr>
                <w:b/>
                <w:i/>
                <w:sz w:val="20"/>
              </w:rPr>
              <w:t>US$’000</w:t>
            </w:r>
          </w:p>
        </w:tc>
        <w:tc>
          <w:tcPr>
            <w:tcW w:w="100" w:type="dxa"/>
            <w:tcBorders/>
            <w:shd w:fill="FFFFFF" w:val="clear"/>
            <w:vAlign w:val="center"/>
          </w:tcPr>
          <w:p>
            <w:pPr>
              <w:pStyle w:val="TableContents"/>
              <w:bidi w:val="0"/>
              <w:spacing w:before="0" w:after="283"/>
              <w:jc w:val="center"/>
              <w:rPr/>
            </w:pPr>
            <w:r>
              <w:rPr/>
              <w:t> </w:t>
            </w:r>
          </w:p>
        </w:tc>
      </w:tr>
      <w:tr>
        <w:trPr/>
        <w:tc>
          <w:tcPr>
            <w:tcW w:w="712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(772,973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(436,697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(64,363</w:t>
            </w:r>
          </w:p>
        </w:tc>
        <w:tc>
          <w:tcPr>
            <w:tcW w:w="1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1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27" w:type="dxa"/>
            <w:tcBorders/>
            <w:shd w:fill="CCEEFF" w:val="clear"/>
            <w:vAlign w:val="center"/>
          </w:tcPr>
          <w:p>
            <w:pPr>
              <w:pStyle w:val="TableContents"/>
              <w:bidi w:val="0"/>
              <w:spacing w:before="0" w:after="283"/>
              <w:jc w:val="left"/>
              <w:rPr/>
            </w:pPr>
            <w:r>
              <w:rPr/>
              <w:t xml:space="preserve">– </w:t>
            </w:r>
            <w:r>
              <w:rPr>
                <w:sz w:val="20"/>
              </w:rPr>
              <w:t>Share-based compensation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251,467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b/>
                <w:sz w:val="20"/>
              </w:rPr>
            </w:pPr>
            <w:r>
              <w:rPr>
                <w:b/>
                <w:sz w:val="20"/>
              </w:rPr>
              <w:t>119,831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b/>
                <w:sz w:val="20"/>
              </w:rPr>
            </w:pPr>
            <w:r>
              <w:rPr>
                <w:b/>
                <w:sz w:val="20"/>
              </w:rPr>
              <w:t>17,661</w:t>
            </w:r>
          </w:p>
        </w:tc>
        <w:tc>
          <w:tcPr>
            <w:tcW w:w="100" w:type="dxa"/>
            <w:tcBorders/>
            <w:shd w:fill="CCEEFF" w:val="clear"/>
            <w:vAlign w:val="center"/>
          </w:tcPr>
          <w:p>
            <w:pPr>
              <w:pStyle w:val="TableContents"/>
              <w:bidi w:val="0"/>
              <w:spacing w:before="0" w:after="283"/>
              <w:jc w:val="left"/>
              <w:rPr/>
            </w:pPr>
            <w:r>
              <w:rPr/>
              <w:t> </w:t>
            </w:r>
          </w:p>
        </w:tc>
      </w:tr>
      <w:tr>
        <w:trPr/>
        <w:tc>
          <w:tcPr>
            <w:tcW w:w="712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Foreign exchange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19,900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2,933</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27" w:type="dxa"/>
            <w:tcBorders/>
            <w:shd w:fill="FFFFFF" w:val="clear"/>
            <w:vAlign w:val="center"/>
          </w:tcPr>
          <w:p>
            <w:pPr>
              <w:pStyle w:val="TableContents"/>
              <w:bidi w:val="0"/>
              <w:spacing w:before="0" w:after="283"/>
              <w:jc w:val="left"/>
              <w:rPr>
                <w:b/>
                <w:sz w:val="20"/>
              </w:rPr>
            </w:pPr>
            <w:r>
              <w:rPr>
                <w:b/>
                <w:sz w:val="20"/>
              </w:rPr>
              <w:t>Adjusted net loss (Non-GAAP Financial Measure)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5" w:type="dxa"/>
            <w:tcBorders>
              <w:bottom w:val="double" w:sz="6"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(491,031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(296,966</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8"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(43,769</w:t>
            </w:r>
          </w:p>
        </w:tc>
        <w:tc>
          <w:tcPr>
            <w:tcW w:w="100" w:type="dxa"/>
            <w:tcBorders/>
            <w:shd w:fill="FFFFFF" w:val="clear"/>
            <w:vAlign w:val="center"/>
          </w:tcPr>
          <w:p>
            <w:pPr>
              <w:pStyle w:val="TableContents"/>
              <w:bidi w:val="0"/>
              <w:spacing w:before="0" w:after="283"/>
              <w:jc w:val="left"/>
              <w:rPr>
                <w:b/>
                <w:sz w:val="20"/>
              </w:rPr>
            </w:pPr>
            <w:r>
              <w:rPr>
                <w:b/>
                <w:sz w:val="20"/>
              </w:rPr>
              <w:t>)</w:t>
            </w:r>
          </w:p>
        </w:tc>
      </w:tr>
      <w:tr>
        <w:trPr/>
        <w:tc>
          <w:tcPr>
            <w:tcW w:w="71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7127" w:type="dxa"/>
            <w:tcBorders/>
            <w:shd w:fill="FFFFFF" w:val="clear"/>
            <w:vAlign w:val="center"/>
          </w:tcPr>
          <w:p>
            <w:pPr>
              <w:pStyle w:val="TableContents"/>
              <w:bidi w:val="0"/>
              <w:spacing w:before="0" w:after="283"/>
              <w:jc w:val="left"/>
              <w:rPr>
                <w:sz w:val="20"/>
              </w:rPr>
            </w:pPr>
            <w:r>
              <w:rPr>
                <w:sz w:val="20"/>
              </w:rPr>
              <w:t>Adjustments: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712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r>
              <w:rPr>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(16,466</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b/>
                <w:sz w:val="20"/>
              </w:rPr>
            </w:pPr>
            <w:r>
              <w:rPr>
                <w:b/>
                <w:sz w:val="20"/>
              </w:rPr>
              <w:t>(57,950</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b/>
                <w:sz w:val="20"/>
              </w:rPr>
            </w:pPr>
            <w:r>
              <w:rPr>
                <w:b/>
                <w:sz w:val="20"/>
              </w:rPr>
              <w:t>(8,541</w:t>
            </w:r>
          </w:p>
        </w:tc>
        <w:tc>
          <w:tcPr>
            <w:tcW w:w="100" w:type="dxa"/>
            <w:tcBorders/>
            <w:shd w:fill="CCEEFF" w:val="clear"/>
            <w:vAlign w:val="center"/>
          </w:tcPr>
          <w:p>
            <w:pPr>
              <w:pStyle w:val="TableContents"/>
              <w:bidi w:val="0"/>
              <w:spacing w:before="0" w:after="283"/>
              <w:jc w:val="left"/>
              <w:rPr>
                <w:b/>
                <w:sz w:val="20"/>
              </w:rPr>
            </w:pPr>
            <w:r>
              <w:rPr>
                <w:b/>
                <w:sz w:val="20"/>
              </w:rPr>
              <w:t>)</w:t>
            </w:r>
          </w:p>
        </w:tc>
      </w:tr>
      <w:tr>
        <w:trPr/>
        <w:tc>
          <w:tcPr>
            <w:tcW w:w="712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207,566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320,361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47,215</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2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21,588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3,182</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2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1,012,922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1,860,927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274,267</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27" w:type="dxa"/>
            <w:tcBorders/>
            <w:shd w:fill="FFFFFF" w:val="clear"/>
            <w:vAlign w:val="center"/>
          </w:tcPr>
          <w:p>
            <w:pPr>
              <w:pStyle w:val="TableContents"/>
              <w:bidi w:val="0"/>
              <w:spacing w:before="0" w:after="283"/>
              <w:jc w:val="left"/>
              <w:rPr>
                <w:b/>
                <w:sz w:val="20"/>
              </w:rPr>
            </w:pPr>
            <w:r>
              <w:rPr>
                <w:b/>
                <w:sz w:val="20"/>
              </w:rPr>
              <w:t>Adjusted EBITDA (Non-GAAP Financial Measure)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5" w:type="dxa"/>
            <w:tcBorders>
              <w:bottom w:val="double" w:sz="6"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724,575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1,847,960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8"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272,354</w:t>
            </w:r>
          </w:p>
        </w:tc>
        <w:tc>
          <w:tcPr>
            <w:tcW w:w="100" w:type="dxa"/>
            <w:tcBorders/>
            <w:shd w:fill="FFFFFF" w:val="clear"/>
            <w:vAlign w:val="center"/>
          </w:tcPr>
          <w:p>
            <w:pPr>
              <w:pStyle w:val="TableContents"/>
              <w:bidi w:val="0"/>
              <w:spacing w:before="0" w:after="283"/>
              <w:jc w:val="left"/>
              <w:rPr>
                <w:sz w:val="4"/>
                <w:szCs w:val="4"/>
              </w:rPr>
            </w:pPr>
            <w:r>
              <w:rPr>
                <w:sz w:val="4"/>
                <w:szCs w:val="4"/>
              </w:rPr>
            </w:r>
          </w:p>
        </w:tc>
      </w:tr>
      <w:tr>
        <w:trPr/>
        <w:tc>
          <w:tcPr>
            <w:tcW w:w="71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left"/>
              <w:rPr>
                <w:sz w:val="4"/>
                <w:szCs w:val="4"/>
              </w:rPr>
            </w:pPr>
            <w:r>
              <w:rPr>
                <w:sz w:val="4"/>
                <w:szCs w:val="4"/>
              </w:rPr>
            </w:r>
          </w:p>
        </w:tc>
        <w:tc>
          <w:tcPr>
            <w:tcW w:w="100" w:type="dxa"/>
            <w:tcBorders/>
            <w:shd w:fill="CCEEFF" w:val="clear"/>
            <w:vAlign w:val="center"/>
          </w:tcPr>
          <w:p>
            <w:pPr>
              <w:pStyle w:val="TableContents"/>
              <w:bidi w:val="0"/>
              <w:spacing w:before="0" w:after="283"/>
              <w:jc w:val="left"/>
              <w:rPr/>
            </w:pPr>
            <w:r>
              <w:rPr/>
              <w:t> </w:t>
            </w:r>
          </w:p>
        </w:tc>
      </w:tr>
      <w:tr>
        <w:trPr/>
        <w:tc>
          <w:tcPr>
            <w:tcW w:w="712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b w:val="false"/>
                <w:i w:val="false"/>
                <w:caps w:val="false"/>
                <w:smallCaps w:val="false"/>
                <w:sz w:val="20"/>
              </w:rPr>
              <w:t>Gain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(7,818</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(35,024</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8"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(5,162</w:t>
            </w:r>
          </w:p>
        </w:tc>
        <w:tc>
          <w:tcPr>
            <w:tcW w:w="100" w:type="dxa"/>
            <w:tcBorders/>
            <w:shd w:fill="FFFFFF" w:val="clear"/>
            <w:vAlign w:val="center"/>
          </w:tcPr>
          <w:p>
            <w:pPr>
              <w:pStyle w:val="TableContents"/>
              <w:bidi w:val="0"/>
              <w:spacing w:before="0" w:after="283"/>
              <w:jc w:val="left"/>
              <w:rPr>
                <w:b/>
                <w:sz w:val="20"/>
              </w:rPr>
            </w:pPr>
            <w:r>
              <w:rPr>
                <w:b/>
                <w:sz w:val="20"/>
              </w:rPr>
              <w:t>)</w:t>
            </w:r>
          </w:p>
        </w:tc>
      </w:tr>
      <w:tr>
        <w:trPr/>
        <w:tc>
          <w:tcPr>
            <w:tcW w:w="71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27" w:type="dxa"/>
            <w:tcBorders/>
            <w:shd w:fill="FFFFFF" w:val="clear"/>
            <w:vAlign w:val="center"/>
          </w:tcPr>
          <w:p>
            <w:pPr>
              <w:pStyle w:val="TableContents"/>
              <w:bidi w:val="0"/>
              <w:spacing w:before="0" w:after="283"/>
              <w:jc w:val="left"/>
              <w:rPr>
                <w:b/>
                <w:sz w:val="20"/>
              </w:rPr>
            </w:pPr>
            <w:r>
              <w:rPr>
                <w:b/>
                <w:sz w:val="20"/>
              </w:rPr>
              <w:t>Excluding gain on disposal of property and equipment, normalized Adjusted EBITDA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5" w:type="dxa"/>
            <w:tcBorders>
              <w:bottom w:val="double" w:sz="6"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716,757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1,812,936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8"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267,192</w:t>
            </w:r>
          </w:p>
        </w:tc>
        <w:tc>
          <w:tcPr>
            <w:tcW w:w="100"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470" w:right="0" w:hanging="0"/>
        <w:jc w:val="center"/>
        <w:rPr>
          <w:sz w:val="20"/>
          <w:bdr w:val="single" w:sz="8" w:space="1" w:color="000000"/>
        </w:rPr>
      </w:pPr>
      <w:r>
        <w:rPr>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647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75"/>
        <w:gridCol w:w="60"/>
        <w:gridCol w:w="60"/>
        <w:gridCol w:w="812"/>
        <w:gridCol w:w="81"/>
        <w:gridCol w:w="60"/>
        <w:gridCol w:w="60"/>
        <w:gridCol w:w="851"/>
        <w:gridCol w:w="81"/>
        <w:gridCol w:w="60"/>
        <w:gridCol w:w="60"/>
        <w:gridCol w:w="743"/>
        <w:gridCol w:w="102"/>
      </w:tblGrid>
      <w:tr>
        <w:trPr/>
        <w:tc>
          <w:tcPr>
            <w:tcW w:w="7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808" w:type="dxa"/>
            <w:gridSpan w:val="9"/>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 June 30,</w:t>
            </w:r>
          </w:p>
        </w:tc>
        <w:tc>
          <w:tcPr>
            <w:tcW w:w="102" w:type="dxa"/>
            <w:tcBorders/>
            <w:vAlign w:val="center"/>
          </w:tcPr>
          <w:p>
            <w:pPr>
              <w:pStyle w:val="TableContents"/>
              <w:bidi w:val="0"/>
              <w:spacing w:before="0" w:after="283"/>
              <w:jc w:val="left"/>
              <w:rPr/>
            </w:pPr>
            <w:r>
              <w:rPr/>
              <w:t> </w:t>
            </w:r>
          </w:p>
        </w:tc>
      </w:tr>
      <w:tr>
        <w:trPr/>
        <w:tc>
          <w:tcPr>
            <w:tcW w:w="71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12" w:type="dxa"/>
            <w:tcBorders>
              <w:bottom w:val="single" w:sz="8" w:space="0" w:color="000000"/>
            </w:tcBorders>
            <w:shd w:fill="FFFFFF" w:val="clear"/>
            <w:tcMar>
              <w:bottom w:w="28" w:type="dxa"/>
            </w:tcMar>
            <w:vAlign w:val="center"/>
          </w:tcPr>
          <w:p>
            <w:pPr>
              <w:pStyle w:val="TableContents"/>
              <w:bidi w:val="0"/>
              <w:spacing w:before="0" w:after="283"/>
              <w:jc w:val="center"/>
              <w:rPr>
                <w:b w:val="false"/>
                <w:i w:val="false"/>
                <w:caps w:val="false"/>
                <w:smallCaps w:val="false"/>
                <w:sz w:val="20"/>
              </w:rPr>
            </w:pPr>
            <w:r>
              <w:rPr>
                <w:b w:val="false"/>
                <w:i w:val="false"/>
                <w:caps w:val="false"/>
                <w:smallCaps w:val="false"/>
                <w:sz w:val="20"/>
              </w:rPr>
              <w:t>2025</w:t>
            </w:r>
          </w:p>
        </w:tc>
        <w:tc>
          <w:tcPr>
            <w:tcW w:w="8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51"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2026</w:t>
            </w:r>
          </w:p>
        </w:tc>
        <w:tc>
          <w:tcPr>
            <w:tcW w:w="8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43"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2026</w:t>
            </w:r>
          </w:p>
        </w:tc>
        <w:tc>
          <w:tcPr>
            <w:tcW w:w="102" w:type="dxa"/>
            <w:tcBorders/>
            <w:shd w:fill="FFFFFF" w:val="clear"/>
            <w:vAlign w:val="center"/>
          </w:tcPr>
          <w:p>
            <w:pPr>
              <w:pStyle w:val="TableContents"/>
              <w:bidi w:val="0"/>
              <w:spacing w:before="0" w:after="283"/>
              <w:jc w:val="center"/>
              <w:rPr/>
            </w:pPr>
            <w:r>
              <w:rPr/>
              <w:t> </w:t>
            </w:r>
          </w:p>
        </w:tc>
      </w:tr>
      <w:tr>
        <w:trPr/>
        <w:tc>
          <w:tcPr>
            <w:tcW w:w="71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12" w:type="dxa"/>
            <w:tcBorders>
              <w:bottom w:val="single" w:sz="8" w:space="0" w:color="000000"/>
            </w:tcBorders>
            <w:shd w:fill="FFFFFF" w:val="clear"/>
            <w:tcMar>
              <w:bottom w:w="28" w:type="dxa"/>
            </w:tcMar>
            <w:vAlign w:val="center"/>
          </w:tcPr>
          <w:p>
            <w:pPr>
              <w:pStyle w:val="TableContents"/>
              <w:bidi w:val="0"/>
              <w:spacing w:before="0" w:after="283"/>
              <w:jc w:val="center"/>
              <w:rPr>
                <w:b w:val="false"/>
                <w:i/>
                <w:sz w:val="20"/>
              </w:rPr>
            </w:pPr>
            <w:r>
              <w:rPr>
                <w:b w:val="false"/>
                <w:i/>
                <w:sz w:val="20"/>
              </w:rPr>
              <w:t>RMB’000</w:t>
            </w:r>
          </w:p>
        </w:tc>
        <w:tc>
          <w:tcPr>
            <w:tcW w:w="8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51" w:type="dxa"/>
            <w:tcBorders>
              <w:bottom w:val="single" w:sz="8" w:space="0" w:color="000000"/>
            </w:tcBorders>
            <w:shd w:fill="FFFFFF" w:val="clear"/>
            <w:tcMar>
              <w:bottom w:w="28" w:type="dxa"/>
            </w:tcMar>
            <w:vAlign w:val="center"/>
          </w:tcPr>
          <w:p>
            <w:pPr>
              <w:pStyle w:val="TableContents"/>
              <w:bidi w:val="0"/>
              <w:spacing w:before="0" w:after="283"/>
              <w:jc w:val="center"/>
              <w:rPr>
                <w:b/>
                <w:i/>
                <w:sz w:val="20"/>
              </w:rPr>
            </w:pPr>
            <w:r>
              <w:rPr>
                <w:b/>
                <w:i/>
                <w:sz w:val="20"/>
              </w:rPr>
              <w:t>RMB’000</w:t>
            </w:r>
          </w:p>
        </w:tc>
        <w:tc>
          <w:tcPr>
            <w:tcW w:w="8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43" w:type="dxa"/>
            <w:tcBorders>
              <w:bottom w:val="single" w:sz="8" w:space="0" w:color="000000"/>
            </w:tcBorders>
            <w:shd w:fill="FFFFFF" w:val="clear"/>
            <w:tcMar>
              <w:bottom w:w="28" w:type="dxa"/>
            </w:tcMar>
            <w:vAlign w:val="center"/>
          </w:tcPr>
          <w:p>
            <w:pPr>
              <w:pStyle w:val="TableContents"/>
              <w:bidi w:val="0"/>
              <w:spacing w:before="0" w:after="283"/>
              <w:jc w:val="center"/>
              <w:rPr>
                <w:b/>
                <w:i/>
                <w:sz w:val="20"/>
              </w:rPr>
            </w:pPr>
            <w:r>
              <w:rPr>
                <w:b/>
                <w:i/>
                <w:sz w:val="20"/>
              </w:rPr>
              <w:t>US$’000</w:t>
            </w:r>
          </w:p>
        </w:tc>
        <w:tc>
          <w:tcPr>
            <w:tcW w:w="102" w:type="dxa"/>
            <w:tcBorders/>
            <w:shd w:fill="FFFFFF" w:val="clear"/>
            <w:vAlign w:val="center"/>
          </w:tcPr>
          <w:p>
            <w:pPr>
              <w:pStyle w:val="TableContents"/>
              <w:bidi w:val="0"/>
              <w:spacing w:before="0" w:after="283"/>
              <w:jc w:val="center"/>
              <w:rPr/>
            </w:pPr>
            <w:r>
              <w:rPr/>
              <w:t> </w:t>
            </w:r>
          </w:p>
        </w:tc>
      </w:tr>
      <w:tr>
        <w:trPr/>
        <w:tc>
          <w:tcPr>
            <w:tcW w:w="71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(561,188</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(143,109</w:t>
            </w:r>
          </w:p>
        </w:tc>
        <w:tc>
          <w:tcPr>
            <w:tcW w:w="8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(21,093</w:t>
            </w:r>
          </w:p>
        </w:tc>
        <w:tc>
          <w:tcPr>
            <w:tcW w:w="10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7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Share-based compensation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251,467</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119,831</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17,661</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7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Amortization of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87,532</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87,422</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12,884</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1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operating (loss) profit (Non-GAAP Financial Measure)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(222,189</w:t>
            </w:r>
          </w:p>
        </w:tc>
        <w:tc>
          <w:tcPr>
            <w:tcW w:w="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64,144</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9,452</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r>
      <w:tr>
        <w:trPr/>
        <w:tc>
          <w:tcPr>
            <w:tcW w:w="717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Gain on disposal of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(7,818</w:t>
            </w:r>
          </w:p>
        </w:tc>
        <w:tc>
          <w:tcPr>
            <w:tcW w:w="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(35,024</w:t>
            </w:r>
          </w:p>
        </w:tc>
        <w:tc>
          <w:tcPr>
            <w:tcW w:w="8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(5,162</w:t>
            </w:r>
          </w:p>
        </w:tc>
        <w:tc>
          <w:tcPr>
            <w:tcW w:w="10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1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Excluding gain on disposal of property and equipment, normalized Adjusted operating (loss)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(230,007</w:t>
            </w:r>
          </w:p>
        </w:tc>
        <w:tc>
          <w:tcPr>
            <w:tcW w:w="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29,120</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4,290</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6470" w:right="0" w:hanging="0"/>
        <w:jc w:val="left"/>
        <w:rPr>
          <w:caps w:val="false"/>
          <w:smallCaps w:val="false"/>
        </w:rPr>
      </w:pPr>
      <w:r>
        <w:rPr>
          <w:caps w:val="false"/>
          <w:smallCaps w:val="false"/>
        </w:rPr>
        <w:t> </w:t>
      </w:r>
    </w:p>
    <w:tbl>
      <w:tblPr>
        <w:tblW w:w="9027" w:type="dxa"/>
        <w:jc w:val="left"/>
        <w:tblInd w:w="0" w:type="dxa"/>
        <w:tblLayout w:type="fixed"/>
        <w:tblCellMar>
          <w:top w:w="0" w:type="dxa"/>
          <w:left w:w="0" w:type="dxa"/>
          <w:bottom w:w="0" w:type="dxa"/>
          <w:right w:w="0" w:type="dxa"/>
        </w:tblCellMar>
      </w:tblPr>
      <w:tblGrid>
        <w:gridCol w:w="5810"/>
        <w:gridCol w:w="60"/>
        <w:gridCol w:w="138"/>
        <w:gridCol w:w="1014"/>
        <w:gridCol w:w="564"/>
        <w:gridCol w:w="138"/>
        <w:gridCol w:w="138"/>
        <w:gridCol w:w="875"/>
        <w:gridCol w:w="290"/>
      </w:tblGrid>
      <w:tr>
        <w:trPr/>
        <w:tc>
          <w:tcPr>
            <w:tcW w:w="5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 June 30,</w:t>
            </w:r>
          </w:p>
        </w:tc>
        <w:tc>
          <w:tcPr>
            <w:tcW w:w="290" w:type="dxa"/>
            <w:tcBorders/>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2"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564"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013"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290" w:type="dxa"/>
            <w:tcBorders/>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5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w:t>
            </w:r>
          </w:p>
        </w:tc>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loss margin (Non-GAAP Financial Measure)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5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w:t>
            </w:r>
          </w:p>
        </w:tc>
        <w:tc>
          <w:tcPr>
            <w:tcW w:w="2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margin (Non-GAAP Financial Measure)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5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32.0</w:t>
            </w:r>
          </w:p>
        </w:tc>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Normalized Adjusted EBITDA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5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31.4</w:t>
            </w:r>
          </w:p>
        </w:tc>
        <w:tc>
          <w:tcPr>
            <w:tcW w:w="2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operating (loss) profit margin (Non-GAAP Financial Measure)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5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Normalized Adjusted operating (loss) profit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5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0.5</w:t>
            </w:r>
          </w:p>
        </w:tc>
        <w:tc>
          <w:tcPr>
            <w:tcW w:w="2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REVIEW AND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Review for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uphold the principle of high-quality and sustainable development and “build success based on technology and innovation”. We forge our reputation throughout the entire business process with customer centricity, while enhancing our business and operations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Reporting Period, total revenues reached RMB5,775.7 million (US$851.2 million), increased by 33.7% from RMB4,319.2 million in the same period last year. Revenues from public cloud services were RMB4,353.9 million (US$641.7 million) and revenues from enterprise cloud services were RMB1,421.8 million (US$209.5 million). Gross profit was RMB812.0 million (US$119.7 million), increased by 23.6% from RMB657.2 million in the first half of 2025. Gross margin was 14.1%, compared with 15.2% in the same period of 2025. Non-GAAP gross profit was RMB823.1 million (US$121.3 million), increased by 21.4% from RMB678.2 million in the same period of 2025. Non-GAAP gross margin was 14.3%, compared with 15.7% in the same period of 2025. Adjusted EBITDA achieved RMB1,848.0 million (US$272.4 million), increased by 155.0% from RMB724.6 million in the same period of 2025. Adjusted EBITDA margin was 32.0%, increased by 15.2 percentage points from 16.8%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Products and Industry-Specific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a full suite of cloud products based on our extensive infrastructure, and develop our industry solutions based on the same suite of underlying technology capabilities. Our modularized cloud products, including unified IaaS infrastructure, PaaS middleware, SaaS applications, AI cloud capabilities and deployment services, can be utilized to design different solutions to meet various business needs. Our cloud products primarily consist of cloud computing, storage and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designed various industry-specific solutions that can unleash the full potential of our infrastructure resources and add value to our customers. Leveraging our profound industry insights, we have strategically expanded our footprints into selected verticals as an early mover and have established a leading market position through relentless execution. As we continuously serve vertical leaders, our products and solutions continue to iterate and pivot based on customers’ feedback. By partnering with vertical leaders, we have accumulated proprietary industry know-how and formed in-depth view of each selected vertical, which enables us to stay forefront of industry-specific cloud solutions. We have designed industry-specific solutions covering a wide spectrum of industry verticals, including Internet, public service, healthcare, financial service and enterprise service, among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upholding the principle of “building success based on technology and innovation”, we constantly iterate our products at a fast pace to create a top-notch customer experience with our core products. During the Reporting Period, our StarFlow Platform expanded its model ecosystem in response to multimodal requirements. Our API service has added speech recognition and speech generation models, expanded image and video generation models, and improved user management. The StarFlow Platform was optimized to enhance resource utilization flexibility in training and fine-tuning, reducing R&amp;D teams’ operation and maintenance costs. To meet the demand for AI agents, we launched Agent Engine for efficient agent development, deployment, and management, and introduced one-click agent deployment on cloud hosts. Also, Star Origin AgentKit platform was launched, offering a full-stack foundation covering security sandboxes, knowledge and memory. To address the growing private AI cloud deployment demand, our Galaxy Stack Platform has integrated StarFlow and security modules, completing a full-stack, closed-loop private AI cloud deployment solution as well as optimizing domestic chips.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Infrastructure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distributed infrastructure is the foundation of our technology. As of June 30, 2026, we owned two data centers and around 102,900 servers primarily throughout China, and achieved exabyte-level storage capacity. We have been investing in our infrastructure to upgrade our computing power and storage capabilities, in order to deliver higher-quality cloud service and enhance the economies of scale. We purchase and lease servers, network equipment and network resources, and lease data centers from industry-leading suppliers to ensure the reliability and availability of our network infrastructure. Our suppliers primarily include Internet Data Center (IDC) operators, telecommunication operators, server providers and network consumables suppliers 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Adhering to our business plan, we prudently allocate our capital expenditure into strategic areas and focus on improving our efficiencies, and optimize our resources in an effort to improve overall profitability, sustainability and long-term competitive edge. During the Reporting Period, our capital expenditures and leased assets obtained in combination amounted to RMB6,242.1 million (US$920.0 million), compared with RMB4,945.6 million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forward, we will keep embracing the increasing cloud demands brought by AI training and inference, improving our efficiencies and optimizing our resources in an effort to improve overall profitability, sustainability and long-term competitive 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build our success based on technology and innovations. We stay committed to cloud-native technology development and have built up customer-centric research and development capabilities. To fulfill business needs of customers, we have been promoting seamless collaboration between solution development and service team and research and development team. With first-hand observations of customers’ business, we are able to respond and tailor our solutions to address their needs in a timely manner. Leveraging our industry know-how, we also preemptively develop solutions to optimize customer experiences. For example, on top of our big-data middleware, we have developed different data management system suitable for different industries. Our technology platform acts as the foundation for product development and innovation to continuously address the evolving business needs of our customers, enabling us to constantly enhance customer engagement.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Reporting Period, our research and development expenses were RMB383.2 million (US$56.5 million) and our research and development personnel reached 1,114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ahead to the second half of the year, we will maintain our high-quality and sustainable development strategy. We will keep investing into technology and enhance our AI cloud capabilities in all aspects. Meanwhile, we will actively embrace the cloud demands from Xiaomi and Kingsoft Ecosystem in the AI era. We aim to create value for our customers, shareholders, employees and society continually.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DISCUSSION AND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COMPREHENSIVE LOSS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for share and per share data)</w:t>
      </w:r>
    </w:p>
    <w:p>
      <w:pPr>
        <w:pStyle w:val="TextBody"/>
        <w:bidi w:val="0"/>
        <w:spacing w:before="0" w:after="0"/>
        <w:ind w:left="0" w:right="0" w:hanging="0"/>
        <w:jc w:val="left"/>
        <w:rPr>
          <w:caps w:val="false"/>
          <w:smallCaps w:val="false"/>
        </w:rPr>
      </w:pPr>
      <w:r>
        <w:rPr>
          <w:caps w:val="false"/>
          <w:smallCaps w:val="false"/>
        </w:rPr>
        <w:t> </w:t>
      </w:r>
    </w:p>
    <w:tbl>
      <w:tblPr>
        <w:tblW w:w="8315" w:type="dxa"/>
        <w:jc w:val="left"/>
        <w:tblInd w:w="0" w:type="dxa"/>
        <w:tblLayout w:type="fixed"/>
        <w:tblCellMar>
          <w:top w:w="0" w:type="dxa"/>
          <w:left w:w="0" w:type="dxa"/>
          <w:bottom w:w="0" w:type="dxa"/>
          <w:right w:w="0" w:type="dxa"/>
        </w:tblCellMar>
      </w:tblPr>
      <w:tblGrid>
        <w:gridCol w:w="5135"/>
        <w:gridCol w:w="60"/>
        <w:gridCol w:w="60"/>
        <w:gridCol w:w="905"/>
        <w:gridCol w:w="80"/>
        <w:gridCol w:w="60"/>
        <w:gridCol w:w="60"/>
        <w:gridCol w:w="905"/>
        <w:gridCol w:w="80"/>
        <w:gridCol w:w="60"/>
        <w:gridCol w:w="60"/>
        <w:gridCol w:w="755"/>
        <w:gridCol w:w="95"/>
      </w:tblGrid>
      <w:tr>
        <w:trPr/>
        <w:tc>
          <w:tcPr>
            <w:tcW w:w="5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5"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 June 30,</w:t>
            </w:r>
          </w:p>
        </w:tc>
        <w:tc>
          <w:tcPr>
            <w:tcW w:w="95" w:type="dxa"/>
            <w:tcBorders/>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95" w:type="dxa"/>
            <w:tcBorders/>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i/>
                <w:sz w:val="20"/>
              </w:rPr>
            </w:pPr>
            <w:r>
              <w:rPr>
                <w:i/>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US$</w:t>
            </w:r>
          </w:p>
        </w:tc>
        <w:tc>
          <w:tcPr>
            <w:tcW w:w="95" w:type="dxa"/>
            <w:tcBorders/>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b/>
                <w:sz w:val="20"/>
              </w:rPr>
            </w:pPr>
            <w:r>
              <w:rPr>
                <w:b/>
                <w:sz w:val="20"/>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sz w:val="20"/>
              </w:rPr>
            </w:pPr>
            <w:r>
              <w:rPr>
                <w:sz w:val="20"/>
              </w:rPr>
              <w:t>Public cloud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2,978,788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b/>
                <w:sz w:val="20"/>
              </w:rPr>
            </w:pPr>
            <w:r>
              <w:rPr>
                <w:b/>
                <w:sz w:val="20"/>
              </w:rPr>
              <w:t>4,353,918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sz w:val="20"/>
              </w:rPr>
            </w:pPr>
            <w:r>
              <w:rPr>
                <w:b/>
                <w:sz w:val="20"/>
              </w:rPr>
              <w:t>641,688</w:t>
            </w:r>
          </w:p>
        </w:tc>
        <w:tc>
          <w:tcPr>
            <w:tcW w:w="95"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Enterprise cloud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1,340,416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1,421,780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209,544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b/>
                <w:sz w:val="20"/>
              </w:rPr>
            </w:pPr>
            <w:r>
              <w:rPr>
                <w:b/>
                <w:sz w:val="20"/>
              </w:rPr>
              <w:t>Total revenues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4,319,204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5,775,698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851,232</w:t>
            </w:r>
          </w:p>
        </w:tc>
        <w:tc>
          <w:tcPr>
            <w:tcW w:w="95"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sz w:val="20"/>
              </w:rPr>
            </w:pPr>
            <w:r>
              <w:rPr>
                <w:sz w:val="20"/>
              </w:rPr>
              <w:t>Cost of revenues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(3,662,041</w:t>
            </w:r>
          </w:p>
        </w:tc>
        <w:tc>
          <w:tcPr>
            <w:tcW w:w="80"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(4,963,741</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(731,565</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b/>
                <w:sz w:val="20"/>
              </w:rPr>
            </w:pPr>
            <w:r>
              <w:rPr>
                <w:b/>
                <w:sz w:val="20"/>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657,163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sz w:val="20"/>
              </w:rPr>
            </w:pPr>
            <w:r>
              <w:rPr>
                <w:b/>
                <w:sz w:val="20"/>
              </w:rPr>
              <w:t>811,957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sz w:val="20"/>
              </w:rPr>
            </w:pPr>
            <w:r>
              <w:rPr>
                <w:b/>
                <w:sz w:val="20"/>
              </w:rPr>
              <w:t>119,667</w:t>
            </w:r>
          </w:p>
        </w:tc>
        <w:tc>
          <w:tcPr>
            <w:tcW w:w="95"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b/>
                <w:sz w:val="20"/>
              </w:rPr>
            </w:pPr>
            <w:r>
              <w:rPr>
                <w:b/>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Selling and marketing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(276,334</w:t>
            </w:r>
          </w:p>
        </w:tc>
        <w:tc>
          <w:tcPr>
            <w:tcW w:w="80"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sz w:val="20"/>
              </w:rPr>
            </w:pPr>
            <w:r>
              <w:rPr>
                <w:b/>
                <w:sz w:val="20"/>
              </w:rPr>
              <w:t>(236,906</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sz w:val="20"/>
              </w:rPr>
            </w:pPr>
            <w:r>
              <w:rPr>
                <w:b/>
                <w:sz w:val="20"/>
              </w:rPr>
              <w:t>(34,916</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(521,562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(334,934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(49,363</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(420,455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(383,226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(56,481</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b/>
                <w:sz w:val="20"/>
              </w:rPr>
            </w:pPr>
            <w:r>
              <w:rPr>
                <w:b/>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(1,218,351</w:t>
            </w:r>
          </w:p>
        </w:tc>
        <w:tc>
          <w:tcPr>
            <w:tcW w:w="80"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(955,066</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(140,760</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b/>
                <w:sz w:val="20"/>
              </w:rPr>
            </w:pPr>
            <w:r>
              <w:rPr>
                <w:b/>
                <w:sz w:val="20"/>
              </w:rPr>
              <w:t>Operating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(561,188</w:t>
            </w:r>
          </w:p>
        </w:tc>
        <w:tc>
          <w:tcPr>
            <w:tcW w:w="80"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sz w:val="20"/>
              </w:rPr>
            </w:pPr>
            <w:r>
              <w:rPr>
                <w:b/>
                <w:sz w:val="20"/>
              </w:rPr>
              <w:t>(143,109</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sz w:val="20"/>
              </w:rPr>
            </w:pPr>
            <w:r>
              <w:rPr>
                <w:b/>
                <w:sz w:val="20"/>
              </w:rPr>
              <w:t>(21,093</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57,950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8,541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(207,566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(320,361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(47,215</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(19,900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(2,933</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gain,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1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b/>
                <w:sz w:val="20"/>
              </w:rPr>
            </w:pPr>
            <w:r>
              <w:rPr>
                <w:b/>
                <w:sz w:val="20"/>
              </w:rPr>
              <w:t>Loss before income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(761,389</w:t>
            </w:r>
          </w:p>
        </w:tc>
        <w:tc>
          <w:tcPr>
            <w:tcW w:w="80"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b/>
                <w:sz w:val="20"/>
              </w:rPr>
            </w:pPr>
            <w:r>
              <w:rPr>
                <w:b/>
                <w:sz w:val="20"/>
              </w:rPr>
              <w:t>(415,109</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sz w:val="20"/>
              </w:rPr>
            </w:pPr>
            <w:r>
              <w:rPr>
                <w:b/>
                <w:sz w:val="20"/>
              </w:rPr>
              <w:t>(61,181</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(11,584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(21,588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(3,182</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b/>
                <w:sz w:val="20"/>
              </w:rPr>
            </w:pPr>
            <w:r>
              <w:rPr>
                <w:b/>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(772,973</w:t>
            </w:r>
          </w:p>
        </w:tc>
        <w:tc>
          <w:tcPr>
            <w:tcW w:w="80"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sz w:val="20"/>
              </w:rPr>
            </w:pPr>
            <w:r>
              <w:rPr>
                <w:b/>
                <w:sz w:val="20"/>
              </w:rPr>
              <w:t>(436,697</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sz w:val="20"/>
              </w:rPr>
            </w:pPr>
            <w:r>
              <w:rPr>
                <w:b/>
                <w:sz w:val="20"/>
              </w:rPr>
              <w:t>(64,363</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(loss)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(1,582</w:t>
            </w:r>
          </w:p>
        </w:tc>
        <w:tc>
          <w:tcPr>
            <w:tcW w:w="80"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30</w:t>
            </w:r>
          </w:p>
        </w:tc>
        <w:tc>
          <w:tcPr>
            <w:tcW w:w="95"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b/>
                <w:sz w:val="20"/>
              </w:rPr>
            </w:pPr>
            <w:r>
              <w:rPr>
                <w:b/>
                <w:sz w:val="20"/>
              </w:rPr>
              <w:t>Net loss attributable to Kingsoft Cloud Holdings Limited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(771,391</w:t>
            </w:r>
          </w:p>
        </w:tc>
        <w:tc>
          <w:tcPr>
            <w:tcW w:w="80"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(436,898</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(64,393</w:t>
            </w:r>
          </w:p>
        </w:tc>
        <w:tc>
          <w:tcPr>
            <w:tcW w:w="95" w:type="dxa"/>
            <w:tcBorders/>
            <w:shd w:fill="FFFFFF" w:val="cle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Total Revenues </w:t>
      </w:r>
      <w:r>
        <w:rPr>
          <w:rFonts w:ascii="Times New Roman;Times;Serif" w:hAnsi="Times New Roman;Times;Serif"/>
          <w:b w:val="false"/>
          <w:i w:val="false"/>
          <w:caps w:val="false"/>
          <w:smallCaps w:val="false"/>
          <w:sz w:val="20"/>
        </w:rPr>
        <w:t>reached RMB5,775.7 million (US$851.2 million), representing an increase of 33.7% from RMB4,319.2 million in the same period of 2025. The increase was mainly due to revenue growth from AI-related customers, supported by continued upgrades to our AI infrastructure and product offerings, as well as revenue growth from enterprise cloud projects.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Revenues from public cloud services increased by 46.2% to RMB4,353.9 million (US$641.7 million), compared with RMB2,978.8 million in the same period of 2025. The year-over-year increase was mainly driven by growing demand for AI cloud services while our other public cloud services also maintained solid growth.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Revenues from enterprise cloud services were RMB1,421.8 million (US$209.5 million), representing an increase of 6.1% from RMB1,340.4 million in the same period of 2025. The year-over-year increase was mainly driven by the increase of enterprise projects.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Cost of revenues </w:t>
      </w:r>
      <w:r>
        <w:rPr>
          <w:rFonts w:ascii="Times New Roman;Times;Serif" w:hAnsi="Times New Roman;Times;Serif"/>
          <w:b w:val="false"/>
          <w:i w:val="false"/>
          <w:caps w:val="false"/>
          <w:smallCaps w:val="false"/>
          <w:sz w:val="20"/>
        </w:rPr>
        <w:t>were RMB4,963.7 million (US$731.6 million), representing an increase of 35.5% from RMB3,662.0 million in the same period of 2025. We continue to enhance our cost control measures. IDC costs increased by 24.6% year-over-year from RMB1,525.9 million to RMB1,901.2 million (US$280.2 million) in the first half of 2026. The increase was mainly due to the growing demands for infrastructure, which was in line with our AI cloud business expansion, as well as other public cloud services growth brought by AI. Depreciation and amortization costs increased by 91.6% from RMB930.5 million to RMB1,782.6 million (US$262.7 million) in the first half of 2026. The increase was mainly due to the depreciation of newly acquired and leased servers, and network equipment which were mainly related to AI cloud business. Solution development and services costs increased by 8.6% from RMB1,069.0 million to RMB1,160.5 million (US$171.1 million) in the first half of 2026. Fulfilment costs and other costs were RMB16.9 million (US$2.5 million) and RMB102.5 million (US$15.1 million), respectively in the first half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Gross profit </w:t>
      </w:r>
      <w:r>
        <w:rPr>
          <w:rFonts w:ascii="Times New Roman;Times;Serif" w:hAnsi="Times New Roman;Times;Serif"/>
          <w:b w:val="false"/>
          <w:i w:val="false"/>
          <w:caps w:val="false"/>
          <w:smallCaps w:val="false"/>
          <w:sz w:val="20"/>
        </w:rPr>
        <w:t xml:space="preserve">was RMB812.0 million (US$119.7 million), representing an increase of 23.6% from RMB657.2 million of the same period of 2025. The increase was mainly due to the expansion of our revenue scale, especially the intelligent computing services. </w:t>
      </w:r>
      <w:r>
        <w:rPr>
          <w:rFonts w:ascii="Times New Roman;Times;Serif" w:hAnsi="Times New Roman;Times;Serif"/>
          <w:b/>
          <w:i w:val="false"/>
          <w:caps w:val="false"/>
          <w:smallCaps w:val="false"/>
          <w:sz w:val="20"/>
        </w:rPr>
        <w:t xml:space="preserve">Gross margin </w:t>
      </w:r>
      <w:r>
        <w:rPr>
          <w:rFonts w:ascii="Times New Roman;Times;Serif" w:hAnsi="Times New Roman;Times;Serif"/>
          <w:b w:val="false"/>
          <w:i w:val="false"/>
          <w:caps w:val="false"/>
          <w:smallCaps w:val="false"/>
          <w:sz w:val="20"/>
        </w:rPr>
        <w:t xml:space="preserve">was 14.1%, compared with 15.2% in the same period of 2025. The decrease was mainly due to increasing depreciation costs. </w:t>
      </w:r>
      <w:r>
        <w:rPr>
          <w:rFonts w:ascii="Times New Roman;Times;Serif" w:hAnsi="Times New Roman;Times;Serif"/>
          <w:b/>
          <w:i w:val="false"/>
          <w:caps w:val="false"/>
          <w:smallCaps w:val="false"/>
          <w:sz w:val="20"/>
        </w:rPr>
        <w:t xml:space="preserve">Non-GAAP gross profit </w:t>
      </w:r>
      <w:r>
        <w:rPr>
          <w:rFonts w:ascii="Times New Roman;Times;Serif" w:hAnsi="Times New Roman;Times;Serif"/>
          <w:b w:val="false"/>
          <w:i w:val="false"/>
          <w:caps w:val="false"/>
          <w:smallCaps w:val="false"/>
          <w:sz w:val="20"/>
        </w:rPr>
        <w:t xml:space="preserve">was RMB823.1 million (US$121.3 million), compared with RMB678.2 million in the same period of 2025. </w:t>
      </w:r>
      <w:r>
        <w:rPr>
          <w:rFonts w:ascii="Times New Roman;Times;Serif" w:hAnsi="Times New Roman;Times;Serif"/>
          <w:b/>
          <w:i w:val="false"/>
          <w:caps w:val="false"/>
          <w:smallCaps w:val="false"/>
          <w:sz w:val="20"/>
        </w:rPr>
        <w:t xml:space="preserve">Non-GAAP gross margin </w:t>
      </w:r>
      <w:r>
        <w:rPr>
          <w:rFonts w:ascii="Times New Roman;Times;Serif" w:hAnsi="Times New Roman;Times;Serif"/>
          <w:b w:val="false"/>
          <w:i w:val="false"/>
          <w:caps w:val="false"/>
          <w:smallCaps w:val="false"/>
          <w:sz w:val="20"/>
        </w:rPr>
        <w:t>was 14.3%, compared with 15.7%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Total operating expenses </w:t>
      </w:r>
      <w:r>
        <w:rPr>
          <w:rFonts w:ascii="Times New Roman;Times;Serif" w:hAnsi="Times New Roman;Times;Serif"/>
          <w:b w:val="false"/>
          <w:i w:val="false"/>
          <w:caps w:val="false"/>
          <w:smallCaps w:val="false"/>
          <w:sz w:val="20"/>
        </w:rPr>
        <w:t>were RMB955.1 million (US$140.8 million), compared with RMB1,218.4 million in the same period of 2025. Among which: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b/>
                <w:sz w:val="20"/>
              </w:rPr>
              <w:t xml:space="preserve">Selling and marketing expenses </w:t>
            </w:r>
            <w:r>
              <w:rPr>
                <w:sz w:val="20"/>
              </w:rPr>
              <w:t>were RMB236.9 million (US$34.9 million), compared with RMB276.3 million in the same period of 2025. The year-over-year decrease was mainly due to the decrease in share-based compensation and personnel costs.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b/>
                <w:sz w:val="20"/>
              </w:rPr>
              <w:t xml:space="preserve">General and administrative expenses </w:t>
            </w:r>
            <w:r>
              <w:rPr>
                <w:sz w:val="20"/>
              </w:rPr>
              <w:t>were RMB335.0 million (US$49.4 million), compared with RMB521.6 million in the same period of 2025. The decrease was mainly due to the decrease of credit loss expenses and share-based compensation.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b/>
                <w:sz w:val="20"/>
              </w:rPr>
              <w:t xml:space="preserve">Research and development expenses </w:t>
            </w:r>
            <w:r>
              <w:rPr>
                <w:sz w:val="20"/>
              </w:rPr>
              <w:t>were RMB383.2 million (US$56.5 million), compared with RMB420.5 million in the same period of 2025, which was mainly due to the decrease in share-based compensation and personnel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Operating loss </w:t>
      </w:r>
      <w:r>
        <w:rPr>
          <w:rFonts w:ascii="Times New Roman;Times;Serif" w:hAnsi="Times New Roman;Times;Serif"/>
          <w:b w:val="false"/>
          <w:i w:val="false"/>
          <w:caps w:val="false"/>
          <w:smallCaps w:val="false"/>
          <w:sz w:val="20"/>
        </w:rPr>
        <w:t>was RMB143.1 million (US$21.1 million), compared with operating loss of RMB561.2 million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loss </w:t>
      </w:r>
      <w:r>
        <w:rPr>
          <w:rFonts w:ascii="Times New Roman;Times;Serif" w:hAnsi="Times New Roman;Times;Serif"/>
          <w:b w:val="false"/>
          <w:i w:val="false"/>
          <w:caps w:val="false"/>
          <w:smallCaps w:val="false"/>
          <w:sz w:val="20"/>
        </w:rPr>
        <w:t>was RMB436.7 million (US$64.4 million), significantly narrowed from net loss of RMB773.0 million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Non-GAAP net loss </w:t>
      </w:r>
      <w:r>
        <w:rPr>
          <w:rFonts w:ascii="Times New Roman;Times;Serif" w:hAnsi="Times New Roman;Times;Serif"/>
          <w:b w:val="false"/>
          <w:i w:val="false"/>
          <w:caps w:val="false"/>
          <w:smallCaps w:val="false"/>
          <w:sz w:val="20"/>
        </w:rPr>
        <w:t>was RMB297.0 million (US$43.8 million), decreased compared with net loss of RMB491.0 million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Non-GAAP EBITDA </w:t>
      </w:r>
      <w:r>
        <w:rPr>
          <w:rFonts w:ascii="Times New Roman;Times;Serif" w:hAnsi="Times New Roman;Times;Serif"/>
          <w:b w:val="false"/>
          <w:i w:val="false"/>
          <w:caps w:val="false"/>
          <w:smallCaps w:val="false"/>
          <w:sz w:val="20"/>
        </w:rPr>
        <w:t xml:space="preserve">arrived at RMB1,848.0 million (US$272.4 million), increased by 155.0% from RMB724.6 million in the same period of 2025. </w:t>
      </w:r>
      <w:r>
        <w:rPr>
          <w:rFonts w:ascii="Times New Roman;Times;Serif" w:hAnsi="Times New Roman;Times;Serif"/>
          <w:b/>
          <w:i w:val="false"/>
          <w:caps w:val="false"/>
          <w:smallCaps w:val="false"/>
          <w:sz w:val="20"/>
        </w:rPr>
        <w:t xml:space="preserve">Non-GAAP EBITDA margin </w:t>
      </w:r>
      <w:r>
        <w:rPr>
          <w:rFonts w:ascii="Times New Roman;Times;Serif" w:hAnsi="Times New Roman;Times;Serif"/>
          <w:b w:val="false"/>
          <w:i w:val="false"/>
          <w:caps w:val="false"/>
          <w:smallCaps w:val="false"/>
          <w:sz w:val="20"/>
        </w:rPr>
        <w:t>was 32.0% in the first half of 2026, compared with 16.8%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Basic and diluted net loss per share </w:t>
      </w:r>
      <w:r>
        <w:rPr>
          <w:rFonts w:ascii="Times New Roman;Times;Serif" w:hAnsi="Times New Roman;Times;Serif"/>
          <w:b w:val="false"/>
          <w:i w:val="false"/>
          <w:caps w:val="false"/>
          <w:smallCaps w:val="false"/>
          <w:sz w:val="20"/>
        </w:rPr>
        <w:t>was RMB0.10 (US$0.01), compared with RMB0.20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sources of liquidity primarily consist of net proceeds from the sale and issuance of our shares, including the net proceeds we received from our US IPO and follow-on offering in 2020, proceeds from follow-on offering and concurrent private placement with Kingsoft Corporation in 2025, and proceeds from financing facilities such as borrowings from third parties and related parties, which have historically been sufficient to meet our working capital and capital expenditure requirements. Our cash and cash equivalents consist of cash on hand and time deposits placed with banks that have original maturities of less than three months and are unrestricted as to withdrawal or use, subject to any restrictions imposed by applicable laws and regulations, including restrictions on foreign exchange and the ability to transfer cash between entities, across borders and to U.S.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substantially all of our cash and cash equivalents were located in the Chinese Mainland and Hong Kong. In the long term, we intend to finance our future working capital requirements and capital expenditures from cash generated from operating activities and funds raised from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our cash and cash equivalents amounted to RMB4,674.3 million (US$688.9 million), representing a decrease of 22.3% from RMB6,018.0 million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EXCHANGE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transact a majority of our business in RMB, and have transactional currency exposures. Certain of our bank balances, other receivables, and accruals and other payables are dominated in foreign currencies and are exposed to foreign currency risk. We currently do not have a foreign currency hedging policy. However, our management monitors foreign exchange exposure and will consider appropriate hedging measures in the future should the need arise.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GEARING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the Group’s gearing ratio, representing total liabilities divided by total assets, was 71.0%, compared with 65.2% as at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Group did not hold any significant investments (including any investment in an investee company with a value of 5% or more of the Group’s total assets as of June 30, 2026). As of June 30, 2026, the Group did not have any future plans for material investments and capital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Group did not have any material contingent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ACQUISITION AND DISPOSALS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did not conduct any material acquisitions and disposals of subsidiaries, consolidated affiliated entities, associates, and joint ventures during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REMUNERATION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14,394 employees as of June 30, 2026, most of whom were located in China, and the rest were located overseas. The following table sets forth a breakdown of our employees by function:</w:t>
      </w:r>
    </w:p>
    <w:p>
      <w:pPr>
        <w:pStyle w:val="TextBody"/>
        <w:bidi w:val="0"/>
        <w:spacing w:before="0" w:after="0"/>
        <w:ind w:left="0" w:right="0" w:hanging="0"/>
        <w:jc w:val="left"/>
        <w:rPr>
          <w:caps w:val="false"/>
          <w:smallCaps w:val="false"/>
        </w:rPr>
      </w:pPr>
      <w:r>
        <w:rPr>
          <w:caps w:val="false"/>
          <w:smallCaps w:val="false"/>
        </w:rPr>
        <w:t> </w:t>
      </w:r>
    </w:p>
    <w:tbl>
      <w:tblPr>
        <w:tblW w:w="6154" w:type="dxa"/>
        <w:jc w:val="left"/>
        <w:tblInd w:w="0" w:type="dxa"/>
        <w:tblLayout w:type="fixed"/>
        <w:tblCellMar>
          <w:top w:w="0" w:type="dxa"/>
          <w:left w:w="0" w:type="dxa"/>
          <w:bottom w:w="28" w:type="dxa"/>
          <w:right w:w="0" w:type="dxa"/>
        </w:tblCellMar>
      </w:tblPr>
      <w:tblGrid>
        <w:gridCol w:w="2885"/>
        <w:gridCol w:w="60"/>
        <w:gridCol w:w="173"/>
        <w:gridCol w:w="1721"/>
        <w:gridCol w:w="60"/>
        <w:gridCol w:w="60"/>
        <w:gridCol w:w="106"/>
        <w:gridCol w:w="859"/>
        <w:gridCol w:w="230"/>
      </w:tblGrid>
      <w:tr>
        <w:trPr/>
        <w:tc>
          <w:tcPr>
            <w:tcW w:w="2885" w:type="dxa"/>
            <w:tcBorders>
              <w:bottom w:val="single" w:sz="8" w:space="0" w:color="000000"/>
            </w:tcBorders>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Function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Employees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65" w:type="dxa"/>
            <w:gridSpan w:val="2"/>
            <w:tcBorders>
              <w:bottom w:val="single" w:sz="8" w:space="0" w:color="000000"/>
            </w:tcBorders>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2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8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2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2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2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Solution development and services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21"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85" w:type="dxa"/>
            <w:tcBorders/>
            <w:shd w:fill="FFFFFF" w:val="clear"/>
            <w:tcMar>
              <w:bottom w:w="0" w:type="dxa"/>
            </w:tcMar>
            <w:vAlign w:val="center"/>
          </w:tcPr>
          <w:p>
            <w:pPr>
              <w:pStyle w:val="TableContents"/>
              <w:bidi w:val="0"/>
              <w:spacing w:before="0" w:after="0"/>
              <w:ind w:left="5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double" w:sz="6"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1"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14,394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double" w:sz="6"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on our ability to attract, retain and motivate qualified personnel, and we believe that our high-quality talent pool is one of the core strengths of our Company. We adopt high standards and strict procedures in our recruitment, including campus recruitment, online recruitment, internal recommendation and recruitment through executive search, to satisfy our demands for different types of talents.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regular and specialized trainings tailored to the needs of our employees in different departments. Our employees can also improve their skills through our development of solutions for our customers and mutual learning among colleagues. New employees will receive pre-job training and general training.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continuous investment in talent development, focusing on strategic reserves of cloud computing and AI specialists. We have established three-layer talents structure and provide various training programs, from senior management, “high-potential” talents to campus recruits. Guided by our principle of “High quality and sustainable development”, we continuously shape our culture of “People-oriented, technology-driven, reputation-first, and governance-focused”.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competitive compensations for our employees. Besides, we regularly evaluate the performance of our employees and reward those who perform well with higher compensations or promotion.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PRC laws and regulations, we participate in various employee social security schemes organized by municipal and provincial governments, including pension, maternity insurance, unemployment insurance, work-related injury insurance, health insurance and housing provident fund. We are required under PRC laws and regulations to make contributions to employee social security schemes at specified percentages of the salaries, bonuses and certain allowances of our employees, up to a maximum amount specified by the local government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committed to achieving high corporate governance standards. The Board believes that high corporate governance standards are essential in providing a framework for the Company to safeguard the interests of shareholders of the Company and to enhance corporate value and accountability.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Compliance with the Corporate Governance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disclosed below, during the Reporting Period, we have complied with the code provisions of the Corporate Governance Code (the “</w:t>
      </w:r>
      <w:r>
        <w:rPr>
          <w:rFonts w:ascii="Times New Roman;Times;Serif" w:hAnsi="Times New Roman;Times;Serif"/>
          <w:b/>
          <w:i w:val="false"/>
          <w:caps w:val="false"/>
          <w:smallCaps w:val="false"/>
          <w:sz w:val="20"/>
        </w:rPr>
        <w:t>CG Code</w:t>
      </w:r>
      <w:r>
        <w:rPr>
          <w:rFonts w:ascii="Times New Roman;Times;Serif" w:hAnsi="Times New Roman;Times;Serif"/>
          <w:b w:val="false"/>
          <w:i w:val="false"/>
          <w:caps w:val="false"/>
          <w:smallCaps w:val="false"/>
          <w:sz w:val="20"/>
        </w:rPr>
        <w:t>”) set forth in Appendix C1 to the Rules Governing the Listing of Securities (the “</w:t>
      </w:r>
      <w:r>
        <w:rPr>
          <w:rFonts w:ascii="Times New Roman;Times;Serif" w:hAnsi="Times New Roman;Times;Serif"/>
          <w:b/>
          <w:i w:val="false"/>
          <w:caps w:val="false"/>
          <w:smallCaps w:val="false"/>
          <w:sz w:val="20"/>
        </w:rPr>
        <w:t>Hong Kong Listing Rules</w:t>
      </w:r>
      <w:r>
        <w:rPr>
          <w:rFonts w:ascii="Times New Roman;Times;Serif" w:hAnsi="Times New Roman;Times;Serif"/>
          <w:b w:val="false"/>
          <w:i w:val="false"/>
          <w:caps w:val="false"/>
          <w:smallCaps w:val="false"/>
          <w:sz w:val="20"/>
        </w:rPr>
        <w:t>”) on The Stock Exchange of Hong Kong Limited (the “</w:t>
      </w:r>
      <w:r>
        <w:rPr>
          <w:rFonts w:ascii="Times New Roman;Times;Serif" w:hAnsi="Times New Roman;Times;Serif"/>
          <w:b/>
          <w:i w:val="false"/>
          <w:caps w:val="false"/>
          <w:smallCaps w:val="false"/>
          <w:sz w:val="20"/>
        </w:rPr>
        <w:t>Hong Kong Stock Exchange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code provision C.2.1 of the CG Code, the roles of chairman and chief executive officer should be separate and should not be performed by the same individual. On March 25, 2026, Mr. Zou Tao, the acting chief executive officer of the Company (the “</w:t>
      </w:r>
      <w:r>
        <w:rPr>
          <w:rFonts w:ascii="Times New Roman;Times;Serif" w:hAnsi="Times New Roman;Times;Serif"/>
          <w:b/>
          <w:i w:val="false"/>
          <w:caps w:val="false"/>
          <w:smallCaps w:val="false"/>
          <w:sz w:val="20"/>
        </w:rPr>
        <w:t>acting CEO</w:t>
      </w:r>
      <w:r>
        <w:rPr>
          <w:rFonts w:ascii="Times New Roman;Times;Serif" w:hAnsi="Times New Roman;Times;Serif"/>
          <w:b w:val="false"/>
          <w:i w:val="false"/>
          <w:caps w:val="false"/>
          <w:smallCaps w:val="false"/>
          <w:sz w:val="20"/>
        </w:rPr>
        <w:t>”) was appointed as the chairman of the Board (the “</w:t>
      </w:r>
      <w:r>
        <w:rPr>
          <w:rFonts w:ascii="Times New Roman;Times;Serif" w:hAnsi="Times New Roman;Times;Serif"/>
          <w:b/>
          <w:i w:val="false"/>
          <w:caps w:val="false"/>
          <w:smallCaps w:val="false"/>
          <w:sz w:val="20"/>
        </w:rPr>
        <w:t>Chairman</w:t>
      </w:r>
      <w:r>
        <w:rPr>
          <w:rFonts w:ascii="Times New Roman;Times;Serif" w:hAnsi="Times New Roman;Times;Serif"/>
          <w:b w:val="false"/>
          <w:i w:val="false"/>
          <w:caps w:val="false"/>
          <w:smallCaps w:val="false"/>
          <w:sz w:val="20"/>
        </w:rPr>
        <w:t>”). The Board believes that it is in the interests of the Company to vest the roles of both the Chairman and the acting CEO in the same person, so as to provide consistent leadership within the Group and facilitate the prompt execution of the Group’s business strategies and boost operation effectiveness. The Board also believes that the balance of power and authority under this arrangement will not be impaired as it is adequately ensured by the Board which comprises experienced and high-calibre individuals (including non-executive Directors and independent non-executive Directors). The Board will periodically review and consider the effectiveness of this arrangement by taking into account the circumstances of the Group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Compliance with the Model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an Insider Dealing Policy (the “</w:t>
      </w:r>
      <w:r>
        <w:rPr>
          <w:rFonts w:ascii="Times New Roman;Times;Serif" w:hAnsi="Times New Roman;Times;Serif"/>
          <w:b/>
          <w:i w:val="false"/>
          <w:caps w:val="false"/>
          <w:smallCaps w:val="false"/>
          <w:sz w:val="20"/>
        </w:rPr>
        <w:t>Insider Dealing Policy</w:t>
      </w:r>
      <w:r>
        <w:rPr>
          <w:rFonts w:ascii="Times New Roman;Times;Serif" w:hAnsi="Times New Roman;Times;Serif"/>
          <w:b w:val="false"/>
          <w:i w:val="false"/>
          <w:caps w:val="false"/>
          <w:smallCaps w:val="false"/>
          <w:sz w:val="20"/>
        </w:rPr>
        <w:t>”) with terms no less exacting than that of the Model Code for Securities Transactions by Directors of Listed Issuers set out in Appendix C3 to the Hong Kong Listing Rules (the “</w:t>
      </w:r>
      <w:r>
        <w:rPr>
          <w:rFonts w:ascii="Times New Roman;Times;Serif" w:hAnsi="Times New Roman;Times;Serif"/>
          <w:b/>
          <w:i w:val="false"/>
          <w:caps w:val="false"/>
          <w:smallCaps w:val="false"/>
          <w:sz w:val="20"/>
        </w:rPr>
        <w:t>Model Code</w:t>
      </w:r>
      <w:r>
        <w:rPr>
          <w:rFonts w:ascii="Times New Roman;Times;Serif" w:hAnsi="Times New Roman;Times;Serif"/>
          <w:b w:val="false"/>
          <w:i w:val="false"/>
          <w:caps w:val="false"/>
          <w:smallCaps w:val="false"/>
          <w:sz w:val="20"/>
        </w:rPr>
        <w:t>”), as its own securities dealing code to regulate all dealings by Directors, officers and employees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 enquiry has been made of all the Directors and the relevant employees and they have confirmed that they have complied with the Insider Dealing Policy and the Model Code during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Sale or Redemption of the Company’s Listed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Reporting Period, neither the Company nor any of its subsidiaries has purchased, sold, or redeemed any of the Company’s listed securities (including sale of treasury shares (as defined under the Hong Kong Listing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there were no treasury shares (as defined under the Hong Kong Listing Rules) held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not involved in any material litigation or arbitration during the Reporting Period which may have a material adverse effect on the Group’s operation. The Directors are also not aware of any such material litigation or claims that were pending or threatened against the Group during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comprises three independent non-executive Directors, being Mr. Yu Mingto, Mr. Wang Hang and Ms. Qu Jingyuan, with Mr. Yu Mingto (being one of the independent non-executive Directors with the appropriate professional qualifications) as the chairman of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reviewed the unaudited condensed consolidated financial statements for the six months ended June 30, 2026. The Audit Committee has agreed on the accounting policies and practices adopted by the Company and discussed matters with respect to financial reporting matters with senior management members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EVENTS AFTER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disclosed in this announcement, no important events affecting the Group occurred since June 30, 2026 and up to the date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did not recommend the distribution of an interim dividend 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interim results announcement contains forward-looking statements. These statements are made under the “safe harbor” provisions of the U.S. Private Securities Litigation Reform Act of 1995.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United States Securities and Exchange Commission. The forward-looking statements included in this preliminary results announcement are only made as of the date hereof, and the Company disclaims any obligation to publicly update any forward-looking statement to reflect subsequent events or circumstances, except as required by law. All forward-looking statements should be evaluated with the understanding of their inherent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announces the unaudited condensed consolidated financial statements for the six months ended June 30, 2026, with the comparative figures for the corresponding period in 2025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of Renminbi (“RMB”) and U.S. dollars (“US$”), except for number of shares and per share data)</w:t>
      </w:r>
    </w:p>
    <w:p>
      <w:pPr>
        <w:pStyle w:val="TextBody"/>
        <w:bidi w:val="0"/>
        <w:spacing w:before="0" w:after="0"/>
        <w:ind w:left="0" w:right="0" w:hanging="0"/>
        <w:jc w:val="left"/>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5135"/>
        <w:gridCol w:w="60"/>
        <w:gridCol w:w="485"/>
        <w:gridCol w:w="60"/>
        <w:gridCol w:w="60"/>
        <w:gridCol w:w="60"/>
        <w:gridCol w:w="905"/>
        <w:gridCol w:w="80"/>
        <w:gridCol w:w="60"/>
        <w:gridCol w:w="60"/>
        <w:gridCol w:w="905"/>
        <w:gridCol w:w="80"/>
        <w:gridCol w:w="60"/>
        <w:gridCol w:w="60"/>
        <w:gridCol w:w="755"/>
        <w:gridCol w:w="95"/>
      </w:tblGrid>
      <w:tr>
        <w:trPr/>
        <w:tc>
          <w:tcPr>
            <w:tcW w:w="5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0" w:type="dxa"/>
            <w:gridSpan w:val="13"/>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 June 30,</w:t>
            </w:r>
          </w:p>
        </w:tc>
        <w:tc>
          <w:tcPr>
            <w:tcW w:w="95" w:type="dxa"/>
            <w:tcBorders/>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95" w:type="dxa"/>
            <w:tcBorders/>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i/>
                <w:sz w:val="20"/>
              </w:rPr>
            </w:pPr>
            <w:r>
              <w:rPr>
                <w:i/>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US$</w:t>
            </w:r>
          </w:p>
        </w:tc>
        <w:tc>
          <w:tcPr>
            <w:tcW w:w="95" w:type="dxa"/>
            <w:tcBorders/>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b/>
                <w:sz w:val="20"/>
              </w:rPr>
            </w:pPr>
            <w:r>
              <w:rPr>
                <w:b/>
                <w:sz w:val="20"/>
              </w:rPr>
              <w:t>Revenues: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Public cloud services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b w:val="false"/>
                <w:i/>
                <w:sz w:val="20"/>
              </w:rPr>
            </w:pPr>
            <w:r>
              <w:rPr>
                <w:b w:val="false"/>
                <w:i/>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2,978,788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b/>
                <w:sz w:val="20"/>
              </w:rPr>
            </w:pPr>
            <w:r>
              <w:rPr>
                <w:b/>
                <w:sz w:val="20"/>
              </w:rPr>
              <w:t>4,353,918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sz w:val="20"/>
              </w:rPr>
            </w:pPr>
            <w:r>
              <w:rPr>
                <w:b/>
                <w:sz w:val="20"/>
              </w:rPr>
              <w:t>641,688</w:t>
            </w:r>
          </w:p>
        </w:tc>
        <w:tc>
          <w:tcPr>
            <w:tcW w:w="95"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Enterprise cloud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1,340,416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1,421,780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209,544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CCEEFF" w:val="clear"/>
            <w:vAlign w:val="center"/>
          </w:tcPr>
          <w:p>
            <w:pPr>
              <w:pStyle w:val="TableContents"/>
              <w:bidi w:val="0"/>
              <w:spacing w:before="0" w:after="283"/>
              <w:jc w:val="left"/>
              <w:rPr>
                <w:b/>
                <w:sz w:val="20"/>
              </w:rPr>
            </w:pPr>
            <w:r>
              <w:rPr>
                <w:b/>
                <w:sz w:val="20"/>
              </w:rPr>
              <w:t>Total revenues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4,319,204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5,775,698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851,232</w:t>
            </w:r>
          </w:p>
        </w:tc>
        <w:tc>
          <w:tcPr>
            <w:tcW w:w="95"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Cost of revenues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(3,662,041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(4,963,741</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(731,565</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b/>
                <w:sz w:val="20"/>
              </w:rPr>
            </w:pPr>
            <w:r>
              <w:rPr>
                <w:b/>
                <w:sz w:val="20"/>
              </w:rPr>
              <w:t>Gross profit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657,163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sz w:val="20"/>
              </w:rPr>
            </w:pPr>
            <w:r>
              <w:rPr>
                <w:b/>
                <w:sz w:val="20"/>
              </w:rPr>
              <w:t>811,957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sz w:val="20"/>
              </w:rPr>
            </w:pPr>
            <w:r>
              <w:rPr>
                <w:b/>
                <w:sz w:val="20"/>
              </w:rPr>
              <w:t>119,667</w:t>
            </w:r>
          </w:p>
        </w:tc>
        <w:tc>
          <w:tcPr>
            <w:tcW w:w="95"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b/>
                <w:sz w:val="20"/>
              </w:rPr>
            </w:pPr>
            <w:r>
              <w:rPr>
                <w:b/>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sz w:val="20"/>
              </w:rPr>
            </w:pPr>
            <w:r>
              <w:rPr>
                <w:sz w:val="20"/>
              </w:rPr>
              <w:t>Selling and marketing expenses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(276,334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sz w:val="20"/>
              </w:rPr>
            </w:pPr>
            <w:r>
              <w:rPr>
                <w:b/>
                <w:sz w:val="20"/>
              </w:rPr>
              <w:t>(236,906</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sz w:val="20"/>
              </w:rPr>
            </w:pPr>
            <w:r>
              <w:rPr>
                <w:b/>
                <w:sz w:val="20"/>
              </w:rPr>
              <w:t>(34,916</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(521,562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(334,934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(49,363</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(420,455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(383,226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(56,481</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CCEEFF" w:val="clear"/>
            <w:vAlign w:val="center"/>
          </w:tcPr>
          <w:p>
            <w:pPr>
              <w:pStyle w:val="TableContents"/>
              <w:bidi w:val="0"/>
              <w:spacing w:before="0" w:after="283"/>
              <w:jc w:val="left"/>
              <w:rPr>
                <w:b/>
                <w:sz w:val="20"/>
              </w:rPr>
            </w:pPr>
            <w:r>
              <w:rPr>
                <w:b/>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(1,218,351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(955,066</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(140,760</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b/>
                <w:sz w:val="20"/>
              </w:rPr>
            </w:pPr>
            <w:r>
              <w:rPr>
                <w:b/>
                <w:sz w:val="20"/>
              </w:rPr>
              <w:t>Operating loss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(561,188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sz w:val="20"/>
              </w:rPr>
            </w:pPr>
            <w:r>
              <w:rPr>
                <w:b/>
                <w:sz w:val="20"/>
              </w:rPr>
              <w:t>(143,109</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sz w:val="20"/>
              </w:rPr>
            </w:pPr>
            <w:r>
              <w:rPr>
                <w:b/>
                <w:sz w:val="20"/>
              </w:rPr>
              <w:t>(21,093</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57,950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8,541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(207,566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(320,361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(47,215</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loss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(19,900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(2,933</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gain,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FFFFFF" w:val="clear"/>
            <w:vAlign w:val="center"/>
          </w:tcPr>
          <w:p>
            <w:pPr>
              <w:pStyle w:val="TableContents"/>
              <w:bidi w:val="0"/>
              <w:spacing w:before="0" w:after="283"/>
              <w:jc w:val="left"/>
              <w:rPr>
                <w:b/>
                <w:sz w:val="20"/>
              </w:rPr>
            </w:pPr>
            <w:r>
              <w:rPr>
                <w:b/>
                <w:sz w:val="20"/>
              </w:rPr>
              <w:t>Loss before income taxes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(761,389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b/>
                <w:sz w:val="20"/>
              </w:rPr>
            </w:pPr>
            <w:r>
              <w:rPr>
                <w:b/>
                <w:sz w:val="20"/>
              </w:rPr>
              <w:t>(415,109</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sz w:val="20"/>
              </w:rPr>
            </w:pPr>
            <w:r>
              <w:rPr>
                <w:b/>
                <w:sz w:val="20"/>
              </w:rPr>
              <w:t>(61,181</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(11,584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(21,588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(3,182</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CCEEFF" w:val="clear"/>
            <w:vAlign w:val="center"/>
          </w:tcPr>
          <w:p>
            <w:pPr>
              <w:pStyle w:val="TableContents"/>
              <w:bidi w:val="0"/>
              <w:spacing w:before="0" w:after="283"/>
              <w:jc w:val="left"/>
              <w:rPr>
                <w:b/>
                <w:sz w:val="20"/>
              </w:rPr>
            </w:pPr>
            <w:r>
              <w:rPr>
                <w:b/>
                <w:sz w:val="20"/>
              </w:rPr>
              <w:t>Net loss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(772,973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sz w:val="20"/>
              </w:rPr>
            </w:pPr>
            <w:r>
              <w:rPr>
                <w:b/>
                <w:sz w:val="20"/>
              </w:rPr>
              <w:t>(436,697</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sz w:val="20"/>
              </w:rPr>
            </w:pPr>
            <w:r>
              <w:rPr>
                <w:b/>
                <w:sz w:val="20"/>
              </w:rPr>
              <w:t>(64,363</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(loss)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(1,582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30</w:t>
            </w:r>
          </w:p>
        </w:tc>
        <w:tc>
          <w:tcPr>
            <w:tcW w:w="95"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b/>
                <w:sz w:val="20"/>
              </w:rPr>
            </w:pPr>
            <w:r>
              <w:rPr>
                <w:b/>
                <w:sz w:val="20"/>
              </w:rPr>
              <w:t>Net loss attributable to Kingsoft Cloud Holdings Limited</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(771,391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(436,898</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(64,393</w:t>
            </w:r>
          </w:p>
        </w:tc>
        <w:tc>
          <w:tcPr>
            <w:tcW w:w="95" w:type="dxa"/>
            <w:tcBorders/>
            <w:shd w:fill="FFFFFF" w:val="cle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of Renminbi (“RMB”) and U.S. dollars (“US$”), except for number of shares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30"/>
        <w:gridCol w:w="60"/>
        <w:gridCol w:w="485"/>
        <w:gridCol w:w="60"/>
        <w:gridCol w:w="60"/>
        <w:gridCol w:w="1205"/>
        <w:gridCol w:w="80"/>
        <w:gridCol w:w="60"/>
        <w:gridCol w:w="60"/>
        <w:gridCol w:w="1205"/>
        <w:gridCol w:w="80"/>
        <w:gridCol w:w="60"/>
        <w:gridCol w:w="60"/>
        <w:gridCol w:w="1205"/>
        <w:gridCol w:w="95"/>
      </w:tblGrid>
      <w:tr>
        <w:trPr/>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15" w:type="dxa"/>
            <w:gridSpan w:val="13"/>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 June 30,</w:t>
            </w:r>
          </w:p>
        </w:tc>
      </w:tr>
      <w:tr>
        <w:trPr/>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95" w:type="dxa"/>
            <w:tcBorders/>
            <w:vAlign w:val="center"/>
          </w:tcPr>
          <w:p>
            <w:pPr>
              <w:pStyle w:val="TableContents"/>
              <w:bidi w:val="0"/>
              <w:spacing w:before="0" w:after="283"/>
              <w:jc w:val="left"/>
              <w:rPr/>
            </w:pPr>
            <w:r>
              <w:rPr/>
              <w:t> </w:t>
            </w:r>
          </w:p>
        </w:tc>
      </w:tr>
      <w:tr>
        <w:trPr/>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i/>
                <w:sz w:val="20"/>
              </w:rPr>
            </w:pPr>
            <w:r>
              <w:rPr>
                <w:i/>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US$</w:t>
            </w:r>
          </w:p>
        </w:tc>
        <w:tc>
          <w:tcPr>
            <w:tcW w:w="95" w:type="dxa"/>
            <w:tcBorders/>
            <w:vAlign w:val="center"/>
          </w:tcPr>
          <w:p>
            <w:pPr>
              <w:pStyle w:val="TableContents"/>
              <w:bidi w:val="0"/>
              <w:spacing w:before="0" w:after="283"/>
              <w:jc w:val="left"/>
              <w:rPr/>
            </w:pPr>
            <w:r>
              <w:rPr/>
              <w:t> </w:t>
            </w:r>
          </w:p>
        </w:tc>
      </w:tr>
      <w:tr>
        <w:trPr/>
        <w:tc>
          <w:tcPr>
            <w:tcW w:w="5430" w:type="dxa"/>
            <w:tcBorders/>
            <w:shd w:fill="CCEEFF" w:val="clear"/>
            <w:vAlign w:val="center"/>
          </w:tcPr>
          <w:p>
            <w:pPr>
              <w:pStyle w:val="TableContents"/>
              <w:bidi w:val="0"/>
              <w:spacing w:before="0" w:after="283"/>
              <w:jc w:val="left"/>
              <w:rPr>
                <w:b/>
                <w:sz w:val="20"/>
              </w:rPr>
            </w:pPr>
            <w:r>
              <w:rPr>
                <w:b/>
                <w:sz w:val="20"/>
              </w:rPr>
              <w:t>Net loss per share:</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6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6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430" w:type="dxa"/>
            <w:tcBorders/>
            <w:shd w:fill="FFFFFF" w:val="clear"/>
            <w:vAlign w:val="center"/>
          </w:tcPr>
          <w:p>
            <w:pPr>
              <w:pStyle w:val="TableContents"/>
              <w:bidi w:val="0"/>
              <w:spacing w:before="0" w:after="283"/>
              <w:jc w:val="left"/>
              <w:rPr>
                <w:sz w:val="20"/>
              </w:rPr>
            </w:pPr>
            <w:r>
              <w:rPr>
                <w:sz w:val="20"/>
              </w:rPr>
              <w:t>Basic and diluted</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b w:val="false"/>
                <w:i/>
                <w:sz w:val="20"/>
              </w:rPr>
            </w:pPr>
            <w:r>
              <w:rPr>
                <w:b w:val="false"/>
                <w:i/>
                <w:sz w:val="20"/>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(0.20</w:t>
            </w:r>
          </w:p>
        </w:tc>
        <w:tc>
          <w:tcPr>
            <w:tcW w:w="80"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b/>
                <w:sz w:val="20"/>
              </w:rPr>
            </w:pPr>
            <w:r>
              <w:rPr>
                <w:b/>
                <w:sz w:val="20"/>
              </w:rPr>
              <w:t>(0.10</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b/>
                <w:sz w:val="20"/>
              </w:rPr>
            </w:pPr>
            <w:r>
              <w:rPr>
                <w:b/>
                <w:sz w:val="20"/>
              </w:rPr>
              <w:t>(0.01</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5430" w:type="dxa"/>
            <w:tcBorders/>
            <w:shd w:fill="CCEEFF" w:val="clear"/>
            <w:vAlign w:val="center"/>
          </w:tcPr>
          <w:p>
            <w:pPr>
              <w:pStyle w:val="TableContents"/>
              <w:bidi w:val="0"/>
              <w:spacing w:before="0" w:after="283"/>
              <w:jc w:val="left"/>
              <w:rPr>
                <w:b/>
                <w:sz w:val="20"/>
              </w:rPr>
            </w:pPr>
            <w:r>
              <w:rPr>
                <w:b/>
                <w:sz w:val="20"/>
              </w:rPr>
              <w:t>Shares used in the net loss per share computation:</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430" w:type="dxa"/>
            <w:tcBorders/>
            <w:shd w:fill="FFFFFF" w:val="clear"/>
            <w:vAlign w:val="center"/>
          </w:tcPr>
          <w:p>
            <w:pPr>
              <w:pStyle w:val="TableContents"/>
              <w:bidi w:val="0"/>
              <w:spacing w:before="0" w:after="283"/>
              <w:jc w:val="left"/>
              <w:rPr>
                <w:sz w:val="20"/>
              </w:rPr>
            </w:pPr>
            <w:r>
              <w:rPr>
                <w:sz w:val="20"/>
              </w:rPr>
              <w:t>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3,869,381,978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b/>
                <w:sz w:val="20"/>
              </w:rPr>
            </w:pPr>
            <w:r>
              <w:rPr>
                <w:b/>
                <w:sz w:val="20"/>
              </w:rPr>
              <w:t>4,558,929,811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b/>
                <w:sz w:val="20"/>
              </w:rPr>
            </w:pPr>
            <w:r>
              <w:rPr>
                <w:b/>
                <w:sz w:val="20"/>
              </w:rPr>
              <w:t>4,558,929,811</w:t>
            </w:r>
          </w:p>
        </w:tc>
        <w:tc>
          <w:tcPr>
            <w:tcW w:w="95" w:type="dxa"/>
            <w:tcBorders/>
            <w:shd w:fill="FFFFFF" w:val="clear"/>
            <w:vAlign w:val="center"/>
          </w:tcPr>
          <w:p>
            <w:pPr>
              <w:pStyle w:val="TableContents"/>
              <w:bidi w:val="0"/>
              <w:spacing w:before="0" w:after="283"/>
              <w:jc w:val="left"/>
              <w:rPr/>
            </w:pPr>
            <w:r>
              <w:rPr/>
              <w:t> </w:t>
            </w:r>
          </w:p>
        </w:tc>
      </w:tr>
      <w:tr>
        <w:trPr/>
        <w:tc>
          <w:tcPr>
            <w:tcW w:w="5430" w:type="dxa"/>
            <w:tcBorders/>
            <w:shd w:fill="CCEEFF" w:val="clear"/>
            <w:vAlign w:val="center"/>
          </w:tcPr>
          <w:p>
            <w:pPr>
              <w:pStyle w:val="TableContents"/>
              <w:bidi w:val="0"/>
              <w:spacing w:before="0" w:after="283"/>
              <w:jc w:val="left"/>
              <w:rPr>
                <w:b/>
                <w:sz w:val="20"/>
              </w:rPr>
            </w:pPr>
            <w:r>
              <w:rPr>
                <w:b/>
                <w:sz w:val="20"/>
              </w:rPr>
              <w:t>Other comprehensive income (loss), net of tax of nil:</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430" w:type="dxa"/>
            <w:tcBorders/>
            <w:shd w:fill="FFFFFF" w:val="clear"/>
            <w:vAlign w:val="center"/>
          </w:tcPr>
          <w:p>
            <w:pPr>
              <w:pStyle w:val="TableContents"/>
              <w:bidi w:val="0"/>
              <w:spacing w:before="0" w:after="283"/>
              <w:jc w:val="left"/>
              <w:rPr>
                <w:sz w:val="20"/>
              </w:rPr>
            </w:pPr>
            <w:r>
              <w:rPr>
                <w:sz w:val="20"/>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50,918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(103,606</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(15,270</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54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430" w:type="dxa"/>
            <w:tcBorders/>
            <w:shd w:fill="FFFFFF" w:val="clear"/>
            <w:vAlign w:val="center"/>
          </w:tcPr>
          <w:p>
            <w:pPr>
              <w:pStyle w:val="TableContents"/>
              <w:bidi w:val="0"/>
              <w:spacing w:before="0" w:after="283"/>
              <w:jc w:val="left"/>
              <w:rPr>
                <w:b/>
                <w:sz w:val="20"/>
              </w:rPr>
            </w:pPr>
            <w:r>
              <w:rPr>
                <w:b/>
                <w:sz w:val="20"/>
              </w:rPr>
              <w:t>Comprehensive loss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(722,055</w:t>
            </w:r>
          </w:p>
        </w:tc>
        <w:tc>
          <w:tcPr>
            <w:tcW w:w="80"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b/>
                <w:sz w:val="20"/>
              </w:rPr>
            </w:pPr>
            <w:r>
              <w:rPr>
                <w:b/>
                <w:sz w:val="20"/>
              </w:rPr>
              <w:t>(540,303</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b/>
                <w:sz w:val="20"/>
              </w:rPr>
            </w:pPr>
            <w:r>
              <w:rPr>
                <w:b/>
                <w:sz w:val="20"/>
              </w:rPr>
              <w:t>(79,633</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54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Comprehensive (loss)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(1,594</w:t>
            </w:r>
          </w:p>
        </w:tc>
        <w:tc>
          <w:tcPr>
            <w:tcW w:w="80"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30</w:t>
            </w:r>
          </w:p>
        </w:tc>
        <w:tc>
          <w:tcPr>
            <w:tcW w:w="95" w:type="dxa"/>
            <w:tcBorders/>
            <w:shd w:fill="FFFFFF" w:val="clear"/>
            <w:vAlign w:val="center"/>
          </w:tcPr>
          <w:p>
            <w:pPr>
              <w:pStyle w:val="TableContents"/>
              <w:bidi w:val="0"/>
              <w:spacing w:before="0" w:after="283"/>
              <w:jc w:val="left"/>
              <w:rPr/>
            </w:pPr>
            <w:r>
              <w:rPr/>
              <w:t> </w:t>
            </w:r>
          </w:p>
        </w:tc>
      </w:tr>
      <w:tr>
        <w:trPr/>
        <w:tc>
          <w:tcPr>
            <w:tcW w:w="54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430" w:type="dxa"/>
            <w:tcBorders/>
            <w:shd w:fill="FFFFFF" w:val="clear"/>
            <w:vAlign w:val="center"/>
          </w:tcPr>
          <w:p>
            <w:pPr>
              <w:pStyle w:val="TableContents"/>
              <w:bidi w:val="0"/>
              <w:spacing w:before="0" w:after="283"/>
              <w:jc w:val="left"/>
              <w:rPr>
                <w:b/>
                <w:sz w:val="20"/>
              </w:rPr>
            </w:pPr>
            <w:r>
              <w:rPr>
                <w:b/>
                <w:sz w:val="20"/>
              </w:rPr>
              <w:t>Comprehensive loss attributable to Kingsoft Cloud Holdings Limited</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(720,461</w:t>
            </w:r>
          </w:p>
        </w:tc>
        <w:tc>
          <w:tcPr>
            <w:tcW w:w="80"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(540,504</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(79,663</w:t>
            </w:r>
          </w:p>
        </w:tc>
        <w:tc>
          <w:tcPr>
            <w:tcW w:w="95" w:type="dxa"/>
            <w:tcBorders/>
            <w:shd w:fill="FFFFFF" w:val="cle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of Renminbi (“RMB”) and U.S. dollars (“US$”), except for number of shares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60"/>
        <w:gridCol w:w="60"/>
        <w:gridCol w:w="485"/>
        <w:gridCol w:w="60"/>
        <w:gridCol w:w="60"/>
        <w:gridCol w:w="950"/>
        <w:gridCol w:w="60"/>
        <w:gridCol w:w="60"/>
        <w:gridCol w:w="60"/>
        <w:gridCol w:w="950"/>
        <w:gridCol w:w="60"/>
        <w:gridCol w:w="60"/>
        <w:gridCol w:w="60"/>
        <w:gridCol w:w="845"/>
        <w:gridCol w:w="75"/>
      </w:tblGrid>
      <w:tr>
        <w:trPr/>
        <w:tc>
          <w:tcPr>
            <w:tcW w:w="6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85" w:type="dxa"/>
            <w:gridSpan w:val="13"/>
            <w:tcBorders>
              <w:bottom w:val="single" w:sz="8" w:space="0" w:color="000000"/>
            </w:tcBorders>
            <w:tcMar>
              <w:bottom w:w="28" w:type="dxa"/>
            </w:tcMar>
            <w:vAlign w:val="center"/>
          </w:tcPr>
          <w:p>
            <w:pPr>
              <w:pStyle w:val="TableContents"/>
              <w:bidi w:val="0"/>
              <w:spacing w:before="0" w:after="283"/>
              <w:jc w:val="center"/>
              <w:rPr>
                <w:b/>
                <w:sz w:val="20"/>
              </w:rPr>
            </w:pPr>
            <w:r>
              <w:rPr>
                <w:b/>
                <w:sz w:val="20"/>
              </w:rPr>
              <w:t>As at</w:t>
            </w:r>
          </w:p>
        </w:tc>
      </w:tr>
      <w:tr>
        <w:trPr/>
        <w:tc>
          <w:tcPr>
            <w:tcW w:w="63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val="false"/>
                <w:i w:val="false"/>
                <w:caps w:val="false"/>
                <w:smallCaps w:val="false"/>
                <w:sz w:val="20"/>
              </w:rPr>
            </w:pPr>
            <w:r>
              <w:rPr>
                <w:b w:val="false"/>
                <w:i w:val="false"/>
                <w:caps w:val="false"/>
                <w:smallCaps w:val="false"/>
                <w:sz w:val="20"/>
              </w:rPr>
              <w:t xml:space="preserve">Dec 31, </w:t>
              <w:b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i w:val="false"/>
                <w:caps w:val="false"/>
                <w:smallCaps w:val="false"/>
                <w:sz w:val="20"/>
              </w:rPr>
            </w:pPr>
            <w:r>
              <w:rPr>
                <w:b/>
                <w:i w:val="false"/>
                <w:caps w:val="false"/>
                <w:smallCaps w:val="false"/>
                <w:sz w:val="20"/>
              </w:rPr>
              <w:t xml:space="preserve">Jun 30, </w:t>
              <w:b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i w:val="false"/>
                <w:caps w:val="false"/>
                <w:smallCaps w:val="false"/>
                <w:sz w:val="20"/>
              </w:rPr>
            </w:pPr>
            <w:r>
              <w:rPr>
                <w:b/>
                <w:i w:val="false"/>
                <w:caps w:val="false"/>
                <w:smallCaps w:val="false"/>
                <w:sz w:val="20"/>
              </w:rPr>
              <w:t xml:space="preserve">Jun 30, </w:t>
              <w:b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i/>
                <w:sz w:val="20"/>
              </w:rPr>
            </w:pPr>
            <w:r>
              <w:rPr>
                <w:i/>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US$</w:t>
            </w:r>
          </w:p>
        </w:tc>
        <w:tc>
          <w:tcPr>
            <w:tcW w:w="75" w:type="dxa"/>
            <w:tcBorders/>
            <w:vAlign w:val="center"/>
          </w:tcPr>
          <w:p>
            <w:pPr>
              <w:pStyle w:val="TableContents"/>
              <w:bidi w:val="0"/>
              <w:spacing w:before="0" w:after="283"/>
              <w:jc w:val="left"/>
              <w:rPr/>
            </w:pPr>
            <w:r>
              <w:rPr/>
              <w:t> </w:t>
            </w:r>
          </w:p>
        </w:tc>
      </w:tr>
      <w:tr>
        <w:trPr/>
        <w:tc>
          <w:tcPr>
            <w:tcW w:w="63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3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6,018,043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4,674,330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688,911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54,963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8,101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1,740,472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2,433,175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358,606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assets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2,592,314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3,116,516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459,317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573,396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702,453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103,529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60" w:type="dxa"/>
            <w:tcBorders/>
            <w:shd w:fill="CCEEFF" w:val="clear"/>
            <w:vAlign w:val="center"/>
          </w:tcPr>
          <w:p>
            <w:pPr>
              <w:pStyle w:val="TableContents"/>
              <w:bidi w:val="0"/>
              <w:spacing w:before="0" w:after="283"/>
              <w:jc w:val="left"/>
              <w:rPr>
                <w:b/>
                <w:sz w:val="20"/>
              </w:rPr>
            </w:pPr>
            <w:r>
              <w:rPr>
                <w:b/>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11,023,419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10,981,437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1,618,464</w:t>
            </w:r>
          </w:p>
        </w:tc>
        <w:tc>
          <w:tcPr>
            <w:tcW w:w="75" w:type="dxa"/>
            <w:tcBorders/>
            <w:shd w:fill="CCEEFF" w:val="clear"/>
            <w:vAlign w:val="center"/>
          </w:tcPr>
          <w:p>
            <w:pPr>
              <w:pStyle w:val="TableContents"/>
              <w:bidi w:val="0"/>
              <w:spacing w:before="0" w:after="283"/>
              <w:jc w:val="left"/>
              <w:rPr/>
            </w:pPr>
            <w:r>
              <w:rPr/>
              <w:t> </w:t>
            </w:r>
          </w:p>
        </w:tc>
      </w:tr>
      <w:tr>
        <w:trPr/>
        <w:tc>
          <w:tcPr>
            <w:tcW w:w="6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360" w:type="dxa"/>
            <w:tcBorders/>
            <w:shd w:fill="CCEEFF" w:val="clear"/>
            <w:vAlign w:val="center"/>
          </w:tcPr>
          <w:p>
            <w:pPr>
              <w:pStyle w:val="TableContents"/>
              <w:bidi w:val="0"/>
              <w:spacing w:before="0" w:after="283"/>
              <w:jc w:val="left"/>
              <w:rPr>
                <w:b/>
                <w:sz w:val="20"/>
              </w:rPr>
            </w:pPr>
            <w:r>
              <w:rPr>
                <w:b/>
                <w:sz w:val="20"/>
              </w:rPr>
              <w:t>Non-current 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3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10,094,870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13,725,293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2,022,858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532,769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445,819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65,706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4,605,724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4,605,724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678,800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139,836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419,048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61,760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investments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234,166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336,495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49,593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98,405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189,754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27,966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60" w:type="dxa"/>
            <w:tcBorders/>
            <w:shd w:fill="CCEEFF" w:val="clear"/>
            <w:vAlign w:val="center"/>
          </w:tcPr>
          <w:p>
            <w:pPr>
              <w:pStyle w:val="TableContents"/>
              <w:bidi w:val="0"/>
              <w:spacing w:before="0" w:after="283"/>
              <w:jc w:val="left"/>
              <w:rPr>
                <w:b/>
                <w:sz w:val="20"/>
              </w:rPr>
            </w:pPr>
            <w:r>
              <w:rPr>
                <w:b/>
                <w:sz w:val="20"/>
              </w:rPr>
              <w:t>Total non-current 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15,705,770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19,722,133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2,906,683</w:t>
            </w:r>
          </w:p>
        </w:tc>
        <w:tc>
          <w:tcPr>
            <w:tcW w:w="75" w:type="dxa"/>
            <w:tcBorders/>
            <w:shd w:fill="CCEEFF" w:val="clear"/>
            <w:vAlign w:val="center"/>
          </w:tcPr>
          <w:p>
            <w:pPr>
              <w:pStyle w:val="TableContents"/>
              <w:bidi w:val="0"/>
              <w:spacing w:before="0" w:after="283"/>
              <w:jc w:val="left"/>
              <w:rPr/>
            </w:pPr>
            <w:r>
              <w:rPr/>
              <w:t> </w:t>
            </w:r>
          </w:p>
        </w:tc>
      </w:tr>
      <w:tr>
        <w:trPr/>
        <w:tc>
          <w:tcPr>
            <w:tcW w:w="6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360" w:type="dxa"/>
            <w:tcBorders/>
            <w:shd w:fill="CCEEFF" w:val="clear"/>
            <w:vAlign w:val="center"/>
          </w:tcPr>
          <w:p>
            <w:pPr>
              <w:pStyle w:val="TableContents"/>
              <w:bidi w:val="0"/>
              <w:spacing w:before="0" w:after="283"/>
              <w:jc w:val="left"/>
              <w:rPr>
                <w:b/>
                <w:sz w:val="20"/>
              </w:rPr>
            </w:pPr>
            <w:r>
              <w:rPr>
                <w:b/>
                <w:sz w:val="20"/>
              </w:rPr>
              <w:t>Total 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26,729,189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30,703,570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4,525,147</w:t>
            </w:r>
          </w:p>
        </w:tc>
        <w:tc>
          <w:tcPr>
            <w:tcW w:w="75" w:type="dxa"/>
            <w:tcBorders/>
            <w:shd w:fill="CCEEFF" w:val="clear"/>
            <w:vAlign w:val="center"/>
          </w:tcPr>
          <w:p>
            <w:pPr>
              <w:pStyle w:val="TableContents"/>
              <w:bidi w:val="0"/>
              <w:spacing w:before="0" w:after="283"/>
              <w:jc w:val="left"/>
              <w:rPr/>
            </w:pPr>
            <w:r>
              <w:rPr/>
              <w:t> </w:t>
            </w:r>
          </w:p>
        </w:tc>
      </w:tr>
      <w:tr>
        <w:trPr/>
        <w:tc>
          <w:tcPr>
            <w:tcW w:w="6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360" w:type="dxa"/>
            <w:tcBorders/>
            <w:shd w:fill="CCEEFF" w:val="clear"/>
            <w:vAlign w:val="center"/>
          </w:tcPr>
          <w:p>
            <w:pPr>
              <w:pStyle w:val="TableContents"/>
              <w:bidi w:val="0"/>
              <w:spacing w:before="0" w:after="283"/>
              <w:jc w:val="left"/>
              <w:rPr>
                <w:b/>
                <w:sz w:val="20"/>
              </w:rPr>
            </w:pPr>
            <w:r>
              <w:rPr>
                <w:b/>
                <w:sz w:val="20"/>
              </w:rPr>
              <w:t>LIABILITIES, NON-CONTROLLING INTEREST, AND SHAREHOLDERS’ EQUITY</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3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2,014,453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2,425,273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357,441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3,222,429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3,792,735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558,981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borrowings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3,348,279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3,256,926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480,011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payable</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67,751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9,985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721,932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1,221,055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179,961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operating lease liabilities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96,996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14,295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60" w:type="dxa"/>
            <w:tcBorders/>
            <w:shd w:fill="FFFFFF" w:val="clear"/>
            <w:vAlign w:val="center"/>
          </w:tcPr>
          <w:p>
            <w:pPr>
              <w:pStyle w:val="TableContents"/>
              <w:bidi w:val="0"/>
              <w:spacing w:before="0" w:after="283"/>
              <w:jc w:val="left"/>
              <w:rPr>
                <w:b/>
                <w:sz w:val="20"/>
              </w:rPr>
            </w:pPr>
            <w:r>
              <w:rPr>
                <w:b/>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9,421,344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10,860,736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1,600,674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of Renminbi (“RMB”) and U.S. dollars (“US$”), except for number of shares and per share data)</w:t>
      </w:r>
    </w:p>
    <w:p>
      <w:pPr>
        <w:pStyle w:val="TextBody"/>
        <w:bidi w:val="0"/>
        <w:spacing w:before="0" w:after="0"/>
        <w:ind w:left="0" w:right="0" w:hanging="0"/>
        <w:jc w:val="left"/>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5630"/>
        <w:gridCol w:w="60"/>
        <w:gridCol w:w="485"/>
        <w:gridCol w:w="60"/>
        <w:gridCol w:w="60"/>
        <w:gridCol w:w="1010"/>
        <w:gridCol w:w="80"/>
        <w:gridCol w:w="60"/>
        <w:gridCol w:w="60"/>
        <w:gridCol w:w="1010"/>
        <w:gridCol w:w="80"/>
        <w:gridCol w:w="60"/>
        <w:gridCol w:w="60"/>
        <w:gridCol w:w="905"/>
        <w:gridCol w:w="95"/>
      </w:tblGrid>
      <w:tr>
        <w:trPr/>
        <w:tc>
          <w:tcPr>
            <w:tcW w:w="5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930" w:type="dxa"/>
            <w:gridSpan w:val="12"/>
            <w:tcBorders>
              <w:bottom w:val="single" w:sz="8" w:space="0" w:color="000000"/>
            </w:tcBorders>
            <w:tcMar>
              <w:bottom w:w="28" w:type="dxa"/>
            </w:tcMar>
            <w:vAlign w:val="center"/>
          </w:tcPr>
          <w:p>
            <w:pPr>
              <w:pStyle w:val="TableContents"/>
              <w:bidi w:val="0"/>
              <w:spacing w:before="0" w:after="283"/>
              <w:jc w:val="center"/>
              <w:rPr>
                <w:b/>
                <w:sz w:val="20"/>
              </w:rPr>
            </w:pPr>
            <w:r>
              <w:rPr>
                <w:b/>
                <w:sz w:val="20"/>
              </w:rPr>
              <w:t>As at</w:t>
            </w:r>
          </w:p>
        </w:tc>
        <w:tc>
          <w:tcPr>
            <w:tcW w:w="95"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 xml:space="preserve">Dec 31, </w:t>
              <w:b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Jun 30, </w:t>
              <w:b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Jun 30, </w:t>
              <w:br/>
              <w:t>2026</w:t>
            </w:r>
          </w:p>
        </w:tc>
        <w:tc>
          <w:tcPr>
            <w:tcW w:w="95"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i/>
                <w:sz w:val="20"/>
              </w:rPr>
            </w:pPr>
            <w:r>
              <w:rPr>
                <w:i/>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US$</w:t>
            </w:r>
          </w:p>
        </w:tc>
        <w:tc>
          <w:tcPr>
            <w:tcW w:w="95" w:type="dxa"/>
            <w:tcBorders/>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283"/>
              <w:jc w:val="left"/>
              <w:rPr>
                <w:sz w:val="20"/>
              </w:rPr>
            </w:pPr>
            <w:r>
              <w:rPr>
                <w:sz w:val="20"/>
              </w:rPr>
              <w:t>Long-term borrowings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3,023,538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b/>
                <w:sz w:val="20"/>
              </w:rPr>
            </w:pPr>
            <w:r>
              <w:rPr>
                <w:b/>
                <w:sz w:val="20"/>
              </w:rPr>
              <w:t>3,424,480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b/>
                <w:sz w:val="20"/>
              </w:rPr>
            </w:pPr>
            <w:r>
              <w:rPr>
                <w:b/>
                <w:sz w:val="20"/>
              </w:rPr>
              <w:t>504,706</w:t>
            </w:r>
          </w:p>
        </w:tc>
        <w:tc>
          <w:tcPr>
            <w:tcW w:w="95"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2,212,325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3,217,952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474,267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61,273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9,031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2,645,895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4,161,172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613,282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operating lease liabilities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83,245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12,269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283"/>
              <w:jc w:val="left"/>
              <w:rPr>
                <w:b/>
                <w:sz w:val="20"/>
              </w:rPr>
            </w:pPr>
            <w:r>
              <w:rPr>
                <w:b/>
                <w:sz w:val="20"/>
              </w:rPr>
              <w:t>Total non-current liabilities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7,994,811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10,948,122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1,613,555</w:t>
            </w:r>
          </w:p>
        </w:tc>
        <w:tc>
          <w:tcPr>
            <w:tcW w:w="95"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283"/>
              <w:jc w:val="left"/>
              <w:rPr>
                <w:b/>
                <w:sz w:val="20"/>
              </w:rPr>
            </w:pPr>
            <w:r>
              <w:rPr>
                <w:b/>
                <w:sz w:val="20"/>
              </w:rPr>
              <w:t>Total liabilities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17,416,155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21,808,858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3,214,229</w:t>
            </w:r>
          </w:p>
        </w:tc>
        <w:tc>
          <w:tcPr>
            <w:tcW w:w="95"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283"/>
              <w:jc w:val="left"/>
              <w:rPr>
                <w:b/>
                <w:sz w:val="20"/>
              </w:rPr>
            </w:pPr>
            <w:r>
              <w:rPr>
                <w:b/>
                <w:sz w:val="20"/>
              </w:rPr>
              <w:t>Shareholders’ equity:</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Ordinary shares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30,888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sz w:val="20"/>
              </w:rPr>
            </w:pPr>
            <w:r>
              <w:rPr>
                <w:b/>
                <w:sz w:val="20"/>
              </w:rPr>
              <w:t>30,888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sz w:val="20"/>
              </w:rPr>
            </w:pPr>
            <w:r>
              <w:rPr>
                <w:b/>
                <w:sz w:val="20"/>
              </w:rPr>
              <w:t>4,552</w:t>
            </w:r>
          </w:p>
        </w:tc>
        <w:tc>
          <w:tcPr>
            <w:tcW w:w="95"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(31,068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(6,222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(917</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24,073,006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24,170,141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3,562,238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reserves funds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51,661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(15,247,868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(15,684,766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(2,311,648</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440,407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336,801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49,638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283"/>
              <w:jc w:val="left"/>
              <w:rPr>
                <w:b/>
                <w:sz w:val="20"/>
              </w:rPr>
            </w:pPr>
            <w:r>
              <w:rPr>
                <w:b/>
                <w:sz w:val="20"/>
              </w:rPr>
              <w:t>Total Kingsoft Cloud Holdings Limited shareholders’ equity</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9,317,026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b/>
                <w:sz w:val="20"/>
              </w:rPr>
            </w:pPr>
            <w:r>
              <w:rPr>
                <w:b/>
                <w:sz w:val="20"/>
              </w:rPr>
              <w:t>8,898,503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b/>
                <w:sz w:val="20"/>
              </w:rPr>
            </w:pPr>
            <w:r>
              <w:rPr>
                <w:b/>
                <w:sz w:val="20"/>
              </w:rPr>
              <w:t>1,311,477</w:t>
            </w:r>
          </w:p>
        </w:tc>
        <w:tc>
          <w:tcPr>
            <w:tcW w:w="95"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(3,791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(559</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b/>
                <w:sz w:val="20"/>
              </w:rPr>
            </w:pPr>
            <w:r>
              <w:rPr>
                <w:b/>
                <w:sz w:val="20"/>
              </w:rPr>
              <w:t>Total equity</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9,313,034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8,894,712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1,310,918</w:t>
            </w:r>
          </w:p>
        </w:tc>
        <w:tc>
          <w:tcPr>
            <w:tcW w:w="95"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b/>
                <w:sz w:val="20"/>
              </w:rPr>
            </w:pPr>
            <w:r>
              <w:rPr>
                <w:b/>
                <w:sz w:val="20"/>
              </w:rPr>
              <w:t>Total liabilities, non-controlling interests and shareholders’ equity</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26,729,189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30,703,570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4,525,147</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of Renminbi (“RMB”) and U.S. dollars (“US$”), except for number of shares and per share data)</w:t>
      </w:r>
    </w:p>
    <w:p>
      <w:pPr>
        <w:pStyle w:val="TextBody"/>
        <w:bidi w:val="0"/>
        <w:spacing w:before="0" w:after="0"/>
        <w:ind w:left="0" w:right="0" w:hanging="0"/>
        <w:jc w:val="left"/>
        <w:rPr>
          <w:caps w:val="false"/>
          <w:smallCaps w:val="false"/>
        </w:rPr>
      </w:pPr>
      <w:r>
        <w:rPr>
          <w:caps w:val="false"/>
          <w:smallCaps w:val="false"/>
        </w:rPr>
        <w:t> </w:t>
      </w:r>
    </w:p>
    <w:tbl>
      <w:tblPr>
        <w:tblW w:w="9425" w:type="dxa"/>
        <w:jc w:val="left"/>
        <w:tblInd w:w="0" w:type="dxa"/>
        <w:tblLayout w:type="fixed"/>
        <w:tblCellMar>
          <w:top w:w="0" w:type="dxa"/>
          <w:left w:w="0" w:type="dxa"/>
          <w:bottom w:w="0" w:type="dxa"/>
          <w:right w:w="0" w:type="dxa"/>
        </w:tblCellMar>
      </w:tblPr>
      <w:tblGrid>
        <w:gridCol w:w="6245"/>
        <w:gridCol w:w="60"/>
        <w:gridCol w:w="60"/>
        <w:gridCol w:w="905"/>
        <w:gridCol w:w="80"/>
        <w:gridCol w:w="60"/>
        <w:gridCol w:w="60"/>
        <w:gridCol w:w="905"/>
        <w:gridCol w:w="80"/>
        <w:gridCol w:w="60"/>
        <w:gridCol w:w="60"/>
        <w:gridCol w:w="755"/>
        <w:gridCol w:w="95"/>
      </w:tblGrid>
      <w:tr>
        <w:trPr/>
        <w:tc>
          <w:tcPr>
            <w:tcW w:w="6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25"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 June 30,</w:t>
            </w:r>
          </w:p>
        </w:tc>
        <w:tc>
          <w:tcPr>
            <w:tcW w:w="9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9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i/>
                <w:sz w:val="20"/>
              </w:rPr>
            </w:pPr>
            <w:r>
              <w:rPr>
                <w:i/>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US$</w:t>
            </w:r>
          </w:p>
        </w:tc>
        <w:tc>
          <w:tcPr>
            <w:tcW w:w="95" w:type="dxa"/>
            <w:tcBorders/>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generated from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1,041,744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3,384,844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498,864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(1,378,225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(4,542,861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(669,535</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2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generated from (used in)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3,102,559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(102,031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(15,038</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 on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20,949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b/>
                <w:sz w:val="20"/>
              </w:rPr>
            </w:pPr>
            <w:r>
              <w:rPr>
                <w:b/>
                <w:sz w:val="20"/>
              </w:rPr>
              <w:t>(127,896</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sz w:val="20"/>
              </w:rPr>
            </w:pPr>
            <w:r>
              <w:rPr>
                <w:b/>
                <w:sz w:val="20"/>
              </w:rPr>
              <w:t>(18,848</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6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increase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2,787,027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b/>
                <w:sz w:val="20"/>
              </w:rPr>
            </w:pPr>
            <w:r>
              <w:rPr>
                <w:b/>
                <w:sz w:val="20"/>
              </w:rPr>
              <w:t>(1,387,944</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sz w:val="20"/>
              </w:rPr>
            </w:pPr>
            <w:r>
              <w:rPr>
                <w:b/>
                <w:sz w:val="20"/>
              </w:rPr>
              <w:t>(204,557</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6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at beginning of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2,730,101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sz w:val="20"/>
              </w:rPr>
            </w:pPr>
            <w:r>
              <w:rPr>
                <w:b/>
                <w:sz w:val="20"/>
              </w:rPr>
              <w:t>6,117,237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sz w:val="20"/>
              </w:rPr>
            </w:pPr>
            <w:r>
              <w:rPr>
                <w:b/>
                <w:sz w:val="20"/>
              </w:rPr>
              <w:t>901,569</w:t>
            </w:r>
          </w:p>
        </w:tc>
        <w:tc>
          <w:tcPr>
            <w:tcW w:w="95"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cash equivalents and restricted cash at end of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5,517,128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4,729,293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697,012</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of Renminbi (“RMB”) and U.S. dollars (“US$”), except for number of shares and per share data)</w:t>
      </w:r>
    </w:p>
    <w:p>
      <w:pPr>
        <w:pStyle w:val="TextBody"/>
        <w:bidi w:val="0"/>
        <w:spacing w:before="0" w:after="0"/>
        <w:ind w:left="0" w:right="0" w:hanging="0"/>
        <w:jc w:val="left"/>
        <w:rPr>
          <w:caps w:val="false"/>
          <w:smallCaps w:val="false"/>
        </w:rPr>
      </w:pPr>
      <w:r>
        <w:rPr>
          <w:caps w:val="false"/>
          <w:smallCaps w:val="false"/>
        </w:rPr>
        <w:t> </w:t>
      </w:r>
    </w:p>
    <w:tbl>
      <w:tblPr>
        <w:tblW w:w="3693" w:type="dxa"/>
        <w:jc w:val="left"/>
        <w:tblInd w:w="0" w:type="dxa"/>
        <w:tblLayout w:type="fixed"/>
        <w:tblCellMar>
          <w:top w:w="0" w:type="dxa"/>
          <w:left w:w="0" w:type="dxa"/>
          <w:bottom w:w="0" w:type="dxa"/>
          <w:right w:w="0" w:type="dxa"/>
        </w:tblCellMar>
      </w:tblPr>
      <w:tblGrid>
        <w:gridCol w:w="38"/>
        <w:gridCol w:w="200"/>
        <w:gridCol w:w="34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1.</w:t>
            </w:r>
          </w:p>
        </w:tc>
        <w:tc>
          <w:tcPr>
            <w:tcW w:w="3455" w:type="dxa"/>
            <w:tcBorders/>
            <w:vAlign w:val="center"/>
          </w:tcPr>
          <w:p>
            <w:pPr>
              <w:pStyle w:val="TableContents"/>
              <w:bidi w:val="0"/>
              <w:spacing w:before="0" w:after="283"/>
              <w:jc w:val="left"/>
              <w:rPr>
                <w:b/>
              </w:rPr>
            </w:pPr>
            <w:r>
              <w:rPr>
                <w:b/>
              </w:rPr>
              <w:t>CORPORATE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Kingsoft Cloud Holdings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is a limited liability company incorporated in the Cayman Islands on January 3, 2012. The Company, its subsidiaries, its variable interest entities (“</w:t>
      </w:r>
      <w:r>
        <w:rPr>
          <w:rFonts w:ascii="Times New Roman;Times;Serif" w:hAnsi="Times New Roman;Times;Serif"/>
          <w:b/>
          <w:i w:val="false"/>
          <w:caps w:val="false"/>
          <w:smallCaps w:val="false"/>
          <w:sz w:val="20"/>
        </w:rPr>
        <w:t>VIEs</w:t>
      </w:r>
      <w:r>
        <w:rPr>
          <w:rFonts w:ascii="Times New Roman;Times;Serif" w:hAnsi="Times New Roman;Times;Serif"/>
          <w:b w:val="false"/>
          <w:i w:val="false"/>
          <w:caps w:val="false"/>
          <w:smallCaps w:val="false"/>
          <w:sz w:val="20"/>
        </w:rPr>
        <w:t>”), and subsidiaries of its variable interest entities are hereinafter collectively referred to as the “Group”. The Group is principally engaged in the provision of cloud services. The Company does not conduct any substantive operations on its own but instead conducts its primary business operations through its subsidiaries, the variable interest entities, and subsidiaries of its variable interest entities, which are located in Chinese Mainland, Hong Kong (“</w:t>
      </w:r>
      <w:r>
        <w:rPr>
          <w:rFonts w:ascii="Times New Roman;Times;Serif" w:hAnsi="Times New Roman;Times;Serif"/>
          <w:b/>
          <w:i w:val="false"/>
          <w:caps w:val="false"/>
          <w:smallCaps w:val="false"/>
          <w:sz w:val="20"/>
        </w:rPr>
        <w:t>HK</w:t>
      </w:r>
      <w:r>
        <w:rPr>
          <w:rFonts w:ascii="Times New Roman;Times;Serif" w:hAnsi="Times New Roman;Times;Serif"/>
          <w:b w:val="false"/>
          <w:i w:val="false"/>
          <w:caps w:val="false"/>
          <w:smallCaps w:val="false"/>
          <w:sz w:val="20"/>
        </w:rPr>
        <w:t>”), Japan and the United States (the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completed its IPO and follow-on offering on Nasdaq in May and September 2020, respectively and completed its listing by way of introduction on the Main Board of The Stock Exchange of Hong Kong Limited (the “</w:t>
      </w:r>
      <w:r>
        <w:rPr>
          <w:rFonts w:ascii="Times New Roman;Times;Serif" w:hAnsi="Times New Roman;Times;Serif"/>
          <w:b/>
          <w:i w:val="false"/>
          <w:caps w:val="false"/>
          <w:smallCaps w:val="false"/>
          <w:sz w:val="20"/>
        </w:rPr>
        <w:t>Stock Exchange</w:t>
      </w:r>
      <w:r>
        <w:rPr>
          <w:rFonts w:ascii="Times New Roman;Times;Serif" w:hAnsi="Times New Roman;Times;Serif"/>
          <w:b w:val="false"/>
          <w:i w:val="false"/>
          <w:caps w:val="false"/>
          <w:smallCaps w:val="false"/>
          <w:sz w:val="20"/>
        </w:rPr>
        <w:t>”) in December 2022. The Company completed the follow-on offering of American Depositary shares and ordinary shares in April and October 2025, and the concurrent private placement to Kingsoft Corporation Limited in June 2025.</w:t>
      </w:r>
    </w:p>
    <w:p>
      <w:pPr>
        <w:pStyle w:val="TextBody"/>
        <w:bidi w:val="0"/>
        <w:spacing w:before="0" w:after="0"/>
        <w:ind w:left="0" w:right="0" w:hanging="0"/>
        <w:jc w:val="left"/>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200"/>
        <w:gridCol w:w="63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2.</w:t>
            </w:r>
          </w:p>
        </w:tc>
        <w:tc>
          <w:tcPr>
            <w:tcW w:w="6380" w:type="dxa"/>
            <w:tcBorders/>
            <w:vAlign w:val="center"/>
          </w:tcPr>
          <w:p>
            <w:pPr>
              <w:pStyle w:val="TableContents"/>
              <w:bidi w:val="0"/>
              <w:spacing w:before="0" w:after="283"/>
              <w:jc w:val="left"/>
              <w:rPr>
                <w:b/>
              </w:rPr>
            </w:pPr>
            <w:r>
              <w:rPr>
                <w:b/>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tbl>
      <w:tblPr>
        <w:tblW w:w="2463" w:type="dxa"/>
        <w:jc w:val="left"/>
        <w:tblInd w:w="0" w:type="dxa"/>
        <w:tblLayout w:type="fixed"/>
        <w:tblCellMar>
          <w:top w:w="0" w:type="dxa"/>
          <w:left w:w="0" w:type="dxa"/>
          <w:bottom w:w="0" w:type="dxa"/>
          <w:right w:w="0" w:type="dxa"/>
        </w:tblCellMar>
      </w:tblPr>
      <w:tblGrid>
        <w:gridCol w:w="38"/>
        <w:gridCol w:w="290"/>
        <w:gridCol w:w="21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rPr>
            </w:pPr>
            <w:r>
              <w:rPr>
                <w:b/>
              </w:rPr>
              <w:t>(a)</w:t>
            </w:r>
          </w:p>
        </w:tc>
        <w:tc>
          <w:tcPr>
            <w:tcW w:w="2135" w:type="dxa"/>
            <w:tcBorders/>
            <w:vAlign w:val="center"/>
          </w:tcPr>
          <w:p>
            <w:pPr>
              <w:pStyle w:val="TableContents"/>
              <w:bidi w:val="0"/>
              <w:spacing w:before="0" w:after="283"/>
              <w:jc w:val="left"/>
              <w:rPr>
                <w:b/>
              </w:rPr>
            </w:pPr>
            <w:r>
              <w:rPr>
                <w:b/>
              </w:rPr>
              <w:t>Basis of 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prepared in accordance with United States generally accepted accounting principles (“</w:t>
      </w:r>
      <w:r>
        <w:rPr>
          <w:rFonts w:ascii="Times New Roman;Times;Serif" w:hAnsi="Times New Roman;Times;Serif"/>
          <w:b/>
          <w:i w:val="false"/>
          <w:caps w:val="false"/>
          <w:smallCaps w:val="false"/>
          <w:sz w:val="20"/>
        </w:rPr>
        <w:t>U.S. GAAP</w:t>
      </w:r>
      <w:r>
        <w:rPr>
          <w:rFonts w:ascii="Times New Roman;Times;Serif" w:hAnsi="Times New Roman;Times;Serif"/>
          <w:b w:val="false"/>
          <w:i w:val="false"/>
          <w:caps w:val="false"/>
          <w:smallCaps w:val="false"/>
          <w:sz w:val="20"/>
        </w:rPr>
        <w:t>”) for interim financial information. These financial statements also comply with the applicable disclosure requirements of the Hong Kong Companies Ordinance. Accordingly, they do not include all of the information and footnotes required by U.S. GAAP for complete financial statements. Certain information and note disclosure normally included in the annual financial statements prepared in accordance with U.S. GAAP have been condensed or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statements and related notes are presented in RMB and all values are rounded to the nearest thousand (RMB’000) except when otherwise indicated.</w:t>
      </w:r>
    </w:p>
    <w:p>
      <w:pPr>
        <w:pStyle w:val="TextBody"/>
        <w:bidi w:val="0"/>
        <w:spacing w:before="0" w:after="0"/>
        <w:ind w:left="0" w:right="0" w:hanging="0"/>
        <w:jc w:val="left"/>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305"/>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b/>
              </w:rPr>
            </w:pPr>
            <w:r>
              <w:rPr>
                <w:b/>
              </w:rPr>
              <w:t>(b)</w:t>
            </w:r>
          </w:p>
        </w:tc>
        <w:tc>
          <w:tcPr>
            <w:tcW w:w="2945" w:type="dxa"/>
            <w:tcBorders/>
            <w:vAlign w:val="center"/>
          </w:tcPr>
          <w:p>
            <w:pPr>
              <w:pStyle w:val="TableContents"/>
              <w:bidi w:val="0"/>
              <w:spacing w:before="0" w:after="283"/>
              <w:jc w:val="left"/>
              <w:rPr>
                <w:b/>
              </w:rPr>
            </w:pPr>
            <w:r>
              <w:rPr>
                <w:b/>
              </w:rPr>
              <w:t>Going concern consideration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unaudited condensed consolidated financial statements have been prepared in accordance with U.S. GAAP on a going concern basis. The going concern basis assumes that assets are realized and liabilities are extinguished in the ordinary course of business at amounts disclosed in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Group incurred net loss of RMB436,697 (US$64,363). As of June 30, 2026, the Group had an accumulated deficit and net current assets of RMB15,684,766 (US$2,311,648) and RMB120,701 (US$17,790), respectively. The Group has primarily funded the operations as well as the capital expenditures through revenue generated from contracts with customers, equity financing, and proceeds from financing facilities such as borrowings from third parties and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view of the operating loss of the Group and the significant capital expenditures required for the expansion of operations of the Group, management has given careful consideration to the future liquidity and performance of the Group and its available sources of financing in assessing whether the Group will have sufficient financial resources to continue as a going concern. As of June 30, 2026, the Group had cash, cash equivalents and restricted cash of RMB4,729,293 (US$697,012). In addition, the Group had existing credit facilities available from banks and other financial institutions to finance the future operations and capital expenditures of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above, management believes that the going concern basis of preparation is supported. Therefore, the unaudited condensed consolidated financial statements do not include any adjustments to the amounts and classifications of assets and liabilities that might be necessary should the Group be unable to continue as a going concern.</w:t>
      </w:r>
    </w:p>
    <w:p>
      <w:pPr>
        <w:pStyle w:val="TextBody"/>
        <w:bidi w:val="0"/>
        <w:spacing w:before="0" w:after="0"/>
        <w:ind w:left="0" w:right="0" w:hanging="0"/>
        <w:jc w:val="left"/>
        <w:rPr>
          <w:caps w:val="false"/>
          <w:smallCaps w:val="false"/>
        </w:rPr>
      </w:pPr>
      <w:r>
        <w:rPr>
          <w:caps w:val="false"/>
          <w:smallCaps w:val="false"/>
        </w:rPr>
        <w:t> </w:t>
      </w:r>
    </w:p>
    <w:tbl>
      <w:tblPr>
        <w:tblW w:w="3003" w:type="dxa"/>
        <w:jc w:val="left"/>
        <w:tblInd w:w="0" w:type="dxa"/>
        <w:tblLayout w:type="fixed"/>
        <w:tblCellMar>
          <w:top w:w="0" w:type="dxa"/>
          <w:left w:w="0" w:type="dxa"/>
          <w:bottom w:w="0" w:type="dxa"/>
          <w:right w:w="0" w:type="dxa"/>
        </w:tblCellMar>
      </w:tblPr>
      <w:tblGrid>
        <w:gridCol w:w="38"/>
        <w:gridCol w:w="275"/>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rPr>
            </w:pPr>
            <w:r>
              <w:rPr>
                <w:b/>
              </w:rPr>
              <w:t>(c)</w:t>
            </w:r>
          </w:p>
        </w:tc>
        <w:tc>
          <w:tcPr>
            <w:tcW w:w="2690" w:type="dxa"/>
            <w:tcBorders/>
            <w:vAlign w:val="center"/>
          </w:tcPr>
          <w:p>
            <w:pPr>
              <w:pStyle w:val="TableContents"/>
              <w:bidi w:val="0"/>
              <w:spacing w:before="0" w:after="283"/>
              <w:jc w:val="left"/>
              <w:rPr>
                <w:b/>
              </w:rPr>
            </w:pPr>
            <w:r>
              <w:rPr>
                <w:b/>
              </w:rPr>
              <w:t>Principles of consolidation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of the Group include the financial statements of the Company, its subsidiaries, the VIEs, and subsidiaries of the VIEs for which the Company is the primary beneficiary. All significant intercompany balances and transactions have been eliminated upon consolidation.</w:t>
      </w:r>
    </w:p>
    <w:p>
      <w:pPr>
        <w:pStyle w:val="TextBody"/>
        <w:bidi w:val="0"/>
        <w:spacing w:before="0" w:after="0"/>
        <w:ind w:left="1080" w:right="0" w:hanging="0"/>
        <w:jc w:val="both"/>
        <w:rPr>
          <w:caps w:val="false"/>
          <w:smallCaps w:val="false"/>
        </w:rPr>
      </w:pPr>
      <w:r>
        <w:rPr>
          <w:caps w:val="false"/>
          <w:smallCaps w:val="false"/>
        </w:rPr>
        <w:t> </w:t>
      </w:r>
    </w:p>
    <w:tbl>
      <w:tblPr>
        <w:tblW w:w="1983" w:type="dxa"/>
        <w:jc w:val="left"/>
        <w:tblInd w:w="0" w:type="dxa"/>
        <w:tblLayout w:type="fixed"/>
        <w:tblCellMar>
          <w:top w:w="0" w:type="dxa"/>
          <w:left w:w="0" w:type="dxa"/>
          <w:bottom w:w="0" w:type="dxa"/>
          <w:right w:w="0" w:type="dxa"/>
        </w:tblCellMar>
      </w:tblPr>
      <w:tblGrid>
        <w:gridCol w:w="38"/>
        <w:gridCol w:w="305"/>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b/>
              </w:rPr>
            </w:pPr>
            <w:r>
              <w:rPr>
                <w:b/>
              </w:rPr>
              <w:t>(d)</w:t>
            </w:r>
          </w:p>
        </w:tc>
        <w:tc>
          <w:tcPr>
            <w:tcW w:w="1640" w:type="dxa"/>
            <w:tcBorders/>
            <w:vAlign w:val="center"/>
          </w:tcPr>
          <w:p>
            <w:pPr>
              <w:pStyle w:val="TableContents"/>
              <w:bidi w:val="0"/>
              <w:spacing w:before="0" w:after="283"/>
              <w:jc w:val="left"/>
              <w:rPr>
                <w:b/>
              </w:rPr>
            </w:pPr>
            <w:r>
              <w:rPr>
                <w:b/>
              </w:rPr>
              <w:t>Use of estimates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unaudited condensed consolidated financial statements in conformity with U.S. GAAP requires management to make estimates and assumptions that affect the reported amounts of assets and liabilities, disclosures of contingent assets and liabilities at the balance sheet date and the reported amounts of revenue and expenses during the reporting period. Significant estimates and assumptions reflected in the Group’s unaudited condensed consolidated financial statements include, but are not limited to, allowance for credit losses for accounts receivable and contract assets, impairment of goodwill and impairment of long-lived assets. Management bases the estimates on historical experience and various other assumptions that are believed to be reasonable, the results of which form the basis for making judgments about the carrying values of assets and liabilities. Actual results could materially differ from those estimates.</w:t>
      </w:r>
    </w:p>
    <w:p>
      <w:pPr>
        <w:pStyle w:val="TextBody"/>
        <w:bidi w:val="0"/>
        <w:spacing w:before="0" w:after="0"/>
        <w:ind w:left="0" w:right="0" w:hanging="0"/>
        <w:jc w:val="left"/>
        <w:rPr>
          <w:caps w:val="false"/>
          <w:smallCaps w:val="false"/>
        </w:rPr>
      </w:pPr>
      <w:r>
        <w:rPr>
          <w:caps w:val="false"/>
          <w:smallCaps w:val="false"/>
        </w:rPr>
        <w:t> </w:t>
      </w:r>
    </w:p>
    <w:tbl>
      <w:tblPr>
        <w:tblW w:w="2808" w:type="dxa"/>
        <w:jc w:val="left"/>
        <w:tblInd w:w="0" w:type="dxa"/>
        <w:tblLayout w:type="fixed"/>
        <w:tblCellMar>
          <w:top w:w="0" w:type="dxa"/>
          <w:left w:w="0" w:type="dxa"/>
          <w:bottom w:w="0" w:type="dxa"/>
          <w:right w:w="0" w:type="dxa"/>
        </w:tblCellMar>
      </w:tblPr>
      <w:tblGrid>
        <w:gridCol w:w="38"/>
        <w:gridCol w:w="275"/>
        <w:gridCol w:w="24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rPr>
            </w:pPr>
            <w:r>
              <w:rPr>
                <w:b/>
              </w:rPr>
              <w:t>(e)</w:t>
            </w:r>
          </w:p>
        </w:tc>
        <w:tc>
          <w:tcPr>
            <w:tcW w:w="2495" w:type="dxa"/>
            <w:tcBorders/>
            <w:vAlign w:val="center"/>
          </w:tcPr>
          <w:p>
            <w:pPr>
              <w:pStyle w:val="TableContents"/>
              <w:bidi w:val="0"/>
              <w:spacing w:before="0" w:after="283"/>
              <w:jc w:val="left"/>
              <w:rPr>
                <w:b/>
              </w:rPr>
            </w:pPr>
            <w:r>
              <w:rPr>
                <w:b/>
              </w:rPr>
              <w:t>Convenience translation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are presented for the convenience of the reader and are translated at the noon buying rate of RMB6.7851 per US$1.00 on June 30, 2026 in the City of New York for cable transfers of RMB as certified for customs purposes by the Federal Reserve Bank of New York. No representation is made that the RMB amounts could have been, or could be, converted into US$ at such rate.</w:t>
      </w:r>
    </w:p>
    <w:p>
      <w:pPr>
        <w:pStyle w:val="TextBody"/>
        <w:bidi w:val="0"/>
        <w:spacing w:before="0" w:after="0"/>
        <w:ind w:left="0" w:right="0" w:hanging="0"/>
        <w:jc w:val="left"/>
        <w:rPr>
          <w:caps w:val="false"/>
          <w:smallCaps w:val="false"/>
        </w:rPr>
      </w:pPr>
      <w:r>
        <w:rPr>
          <w:caps w:val="false"/>
          <w:smallCaps w:val="false"/>
        </w:rPr>
        <w:t> </w:t>
      </w:r>
    </w:p>
    <w:tbl>
      <w:tblPr>
        <w:tblW w:w="2208" w:type="dxa"/>
        <w:jc w:val="left"/>
        <w:tblInd w:w="0" w:type="dxa"/>
        <w:tblLayout w:type="fixed"/>
        <w:tblCellMar>
          <w:top w:w="0" w:type="dxa"/>
          <w:left w:w="0" w:type="dxa"/>
          <w:bottom w:w="0" w:type="dxa"/>
          <w:right w:w="0" w:type="dxa"/>
        </w:tblCellMar>
      </w:tblPr>
      <w:tblGrid>
        <w:gridCol w:w="38"/>
        <w:gridCol w:w="245"/>
        <w:gridCol w:w="19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(f)</w:t>
            </w:r>
          </w:p>
        </w:tc>
        <w:tc>
          <w:tcPr>
            <w:tcW w:w="1925" w:type="dxa"/>
            <w:tcBorders/>
            <w:vAlign w:val="center"/>
          </w:tcPr>
          <w:p>
            <w:pPr>
              <w:pStyle w:val="TableContents"/>
              <w:bidi w:val="0"/>
              <w:spacing w:before="0" w:after="283"/>
              <w:jc w:val="left"/>
              <w:rPr>
                <w:b/>
              </w:rPr>
            </w:pPr>
            <w:r>
              <w:rPr>
                <w:b/>
              </w:rPr>
              <w:t>Segment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chief operating decision maker (“</w:t>
      </w:r>
      <w:r>
        <w:rPr>
          <w:rFonts w:ascii="Times New Roman;Times;Serif" w:hAnsi="Times New Roman;Times;Serif"/>
          <w:b/>
          <w:i w:val="false"/>
          <w:caps w:val="false"/>
          <w:smallCaps w:val="false"/>
          <w:sz w:val="20"/>
        </w:rPr>
        <w:t>CODM</w:t>
      </w:r>
      <w:r>
        <w:rPr>
          <w:rFonts w:ascii="Times New Roman;Times;Serif" w:hAnsi="Times New Roman;Times;Serif"/>
          <w:b w:val="false"/>
          <w:i w:val="false"/>
          <w:caps w:val="false"/>
          <w:smallCaps w:val="false"/>
          <w:sz w:val="20"/>
        </w:rPr>
        <w:t>”) has been identified as the Chief Executive Officer who reviews the consolidated results of operations when making decisions about allocating resources and assessing performance of the Group as a whole and hence, the Group has only one operating segment. The CODM uses consolidated net loss to assess financial performance and allocate resources. The CODM considers budget to actual comparisons of consolidated net loss on a regular basis when assessing the operating results and making resource decisions to improve profitability. The CODM also uses the budget to actual comparisons of consolidated net loss to make decisions aligned with the Group’s strategic initiatives and capital allocation priorities. Significant expenses reviewed by the CODM include those that are presented in the unaudited interim condensed consolidated statements of comprehensive loss. The measure of segment assets is reported on the unaudited interim condensed consolidated balance sheet as total consolidated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Group’s revenues were generated from Chinese Mainland and a majority of the long-lived assets of the Group are located in Chinese Mainland, and therefore, no geographical segments are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523" w:type="dxa"/>
        <w:jc w:val="left"/>
        <w:tblInd w:w="0" w:type="dxa"/>
        <w:tblLayout w:type="fixed"/>
        <w:tblCellMar>
          <w:top w:w="0" w:type="dxa"/>
          <w:left w:w="0" w:type="dxa"/>
          <w:bottom w:w="0" w:type="dxa"/>
          <w:right w:w="0" w:type="dxa"/>
        </w:tblCellMar>
      </w:tblPr>
      <w:tblGrid>
        <w:gridCol w:w="38"/>
        <w:gridCol w:w="200"/>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3.</w:t>
            </w:r>
          </w:p>
        </w:tc>
        <w:tc>
          <w:tcPr>
            <w:tcW w:w="8285" w:type="dxa"/>
            <w:tcBorders/>
            <w:vAlign w:val="center"/>
          </w:tcPr>
          <w:p>
            <w:pPr>
              <w:pStyle w:val="TableContents"/>
              <w:bidi w:val="0"/>
              <w:spacing w:before="0" w:after="283"/>
              <w:jc w:val="left"/>
              <w:rPr>
                <w:b/>
              </w:rPr>
            </w:pPr>
            <w:r>
              <w:rPr>
                <w:b/>
              </w:rPr>
              <w:t>REVENUES, OTHER GAIN, NET AND OTHER INCOME (EXPENSE), 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Group’s revenues from contracts with customers disaggregated by material revenue category:</w:t>
      </w:r>
    </w:p>
    <w:p>
      <w:pPr>
        <w:pStyle w:val="TextBody"/>
        <w:bidi w:val="0"/>
        <w:spacing w:before="0" w:after="0"/>
        <w:ind w:left="0" w:right="0" w:hanging="0"/>
        <w:jc w:val="left"/>
        <w:rPr>
          <w:caps w:val="false"/>
          <w:smallCaps w:val="false"/>
        </w:rPr>
      </w:pPr>
      <w:r>
        <w:rPr>
          <w:caps w:val="false"/>
          <w:smallCaps w:val="false"/>
        </w:rPr>
        <w:t> </w:t>
      </w:r>
    </w:p>
    <w:tbl>
      <w:tblPr>
        <w:tblW w:w="6516" w:type="dxa"/>
        <w:jc w:val="left"/>
        <w:tblInd w:w="0" w:type="dxa"/>
        <w:tblLayout w:type="fixed"/>
        <w:tblCellMar>
          <w:top w:w="0" w:type="dxa"/>
          <w:left w:w="0" w:type="dxa"/>
          <w:bottom w:w="0" w:type="dxa"/>
          <w:right w:w="0" w:type="dxa"/>
        </w:tblCellMar>
      </w:tblPr>
      <w:tblGrid>
        <w:gridCol w:w="3515"/>
        <w:gridCol w:w="60"/>
        <w:gridCol w:w="61"/>
        <w:gridCol w:w="864"/>
        <w:gridCol w:w="61"/>
        <w:gridCol w:w="61"/>
        <w:gridCol w:w="61"/>
        <w:gridCol w:w="864"/>
        <w:gridCol w:w="61"/>
        <w:gridCol w:w="61"/>
        <w:gridCol w:w="61"/>
        <w:gridCol w:w="711"/>
        <w:gridCol w:w="75"/>
      </w:tblGrid>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6"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 June 30,</w:t>
            </w:r>
          </w:p>
        </w:tc>
        <w:tc>
          <w:tcPr>
            <w:tcW w:w="7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5"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2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7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7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5" w:type="dxa"/>
            <w:gridSpan w:val="2"/>
            <w:tcBorders>
              <w:bottom w:val="single" w:sz="8" w:space="0" w:color="000000"/>
            </w:tcBorders>
            <w:tcMar>
              <w:bottom w:w="28" w:type="dxa"/>
            </w:tcMar>
            <w:vAlign w:val="center"/>
          </w:tcPr>
          <w:p>
            <w:pPr>
              <w:pStyle w:val="TableContents"/>
              <w:bidi w:val="0"/>
              <w:spacing w:before="0" w:after="283"/>
              <w:jc w:val="center"/>
              <w:rPr>
                <w:i/>
                <w:sz w:val="20"/>
              </w:rPr>
            </w:pPr>
            <w:r>
              <w:rPr>
                <w:i/>
                <w:sz w:val="20"/>
              </w:rPr>
              <w:t>RMB</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25"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RMB</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72"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US$</w:t>
            </w:r>
          </w:p>
        </w:tc>
        <w:tc>
          <w:tcPr>
            <w:tcW w:w="75"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cloud services recognized over time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2,978,788</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4,353,918</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641,688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CCEEFF" w:val="clear"/>
            <w:vAlign w:val="center"/>
          </w:tcPr>
          <w:p>
            <w:pPr>
              <w:pStyle w:val="TableContents"/>
              <w:bidi w:val="0"/>
              <w:spacing w:before="0" w:after="283"/>
              <w:jc w:val="left"/>
              <w:rPr>
                <w:sz w:val="20"/>
              </w:rPr>
            </w:pPr>
            <w:r>
              <w:rPr>
                <w:sz w:val="20"/>
              </w:rPr>
              <w:t>Enterprise cloud services: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sz w:val="20"/>
              </w:rPr>
            </w:pPr>
            <w:r>
              <w:rPr>
                <w:sz w:val="20"/>
              </w:rPr>
              <w:t>Recognized at a point in time</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sz w:val="20"/>
              </w:rPr>
            </w:pPr>
            <w:r>
              <w:rPr>
                <w:sz w:val="20"/>
              </w:rPr>
              <w:t>108,681</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b/>
                <w:sz w:val="20"/>
              </w:rPr>
            </w:pPr>
            <w:r>
              <w:rPr>
                <w:b/>
                <w:sz w:val="20"/>
              </w:rPr>
              <w:t>89,210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b/>
                <w:sz w:val="20"/>
              </w:rPr>
            </w:pPr>
            <w:r>
              <w:rPr>
                <w:b/>
                <w:sz w:val="20"/>
              </w:rPr>
              <w:t>13,148</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Recognized over time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1,231,735</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1,332,570</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196,396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1,340,416</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4"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1,421,780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209,544</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6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4,319,204</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64"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5,775,698</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11"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851,232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Group’s other gain, net:</w:t>
      </w:r>
    </w:p>
    <w:p>
      <w:pPr>
        <w:pStyle w:val="TextBody"/>
        <w:bidi w:val="0"/>
        <w:spacing w:before="0" w:after="0"/>
        <w:ind w:left="0" w:right="0" w:hanging="0"/>
        <w:jc w:val="left"/>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4055"/>
        <w:gridCol w:w="60"/>
        <w:gridCol w:w="80"/>
        <w:gridCol w:w="730"/>
        <w:gridCol w:w="107"/>
        <w:gridCol w:w="80"/>
        <w:gridCol w:w="80"/>
        <w:gridCol w:w="791"/>
        <w:gridCol w:w="107"/>
        <w:gridCol w:w="80"/>
        <w:gridCol w:w="80"/>
        <w:gridCol w:w="730"/>
        <w:gridCol w:w="95"/>
      </w:tblGrid>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5"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 June 30,</w:t>
            </w:r>
          </w:p>
        </w:tc>
        <w:tc>
          <w:tcPr>
            <w:tcW w:w="9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107"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87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07"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8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95" w:type="dxa"/>
            <w:tcBorders/>
            <w:vAlign w:val="center"/>
          </w:tcPr>
          <w:p>
            <w:pPr>
              <w:pStyle w:val="TableContents"/>
              <w:bidi w:val="0"/>
              <w:spacing w:before="0" w:after="283"/>
              <w:jc w:val="center"/>
              <w:rPr/>
            </w:pPr>
            <w:r>
              <w:rPr/>
              <w:t> </w:t>
            </w:r>
          </w:p>
        </w:tc>
      </w:tr>
      <w:tr>
        <w:trPr/>
        <w:tc>
          <w:tcPr>
            <w:tcW w:w="4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0" w:type="dxa"/>
            <w:gridSpan w:val="2"/>
            <w:tcBorders>
              <w:bottom w:val="single" w:sz="8" w:space="0" w:color="000000"/>
            </w:tcBorders>
            <w:tcMar>
              <w:bottom w:w="28" w:type="dxa"/>
            </w:tcMar>
            <w:vAlign w:val="center"/>
          </w:tcPr>
          <w:p>
            <w:pPr>
              <w:pStyle w:val="TableContents"/>
              <w:bidi w:val="0"/>
              <w:spacing w:before="0" w:after="283"/>
              <w:jc w:val="center"/>
              <w:rPr>
                <w:i/>
                <w:sz w:val="20"/>
              </w:rPr>
            </w:pPr>
            <w:r>
              <w:rPr>
                <w:i/>
                <w:sz w:val="20"/>
              </w:rPr>
              <w:t>RMB</w:t>
            </w:r>
          </w:p>
        </w:tc>
        <w:tc>
          <w:tcPr>
            <w:tcW w:w="107"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871"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RMB</w:t>
            </w:r>
          </w:p>
        </w:tc>
        <w:tc>
          <w:tcPr>
            <w:tcW w:w="107"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810"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US$</w:t>
            </w:r>
          </w:p>
        </w:tc>
        <w:tc>
          <w:tcPr>
            <w:tcW w:w="95" w:type="dxa"/>
            <w:tcBorders/>
            <w:vAlign w:val="center"/>
          </w:tcPr>
          <w:p>
            <w:pPr>
              <w:pStyle w:val="TableContents"/>
              <w:bidi w:val="0"/>
              <w:spacing w:before="0" w:after="283"/>
              <w:jc w:val="center"/>
              <w:rPr/>
            </w:pPr>
            <w:r>
              <w:rPr/>
              <w:t> </w:t>
            </w:r>
          </w:p>
        </w:tc>
      </w:tr>
      <w:tr>
        <w:trPr/>
        <w:tc>
          <w:tcPr>
            <w:tcW w:w="4055" w:type="dxa"/>
            <w:tcBorders/>
            <w:shd w:fill="CCEEFF" w:val="clear"/>
            <w:vAlign w:val="center"/>
          </w:tcPr>
          <w:p>
            <w:pPr>
              <w:pStyle w:val="TableContents"/>
              <w:bidi w:val="0"/>
              <w:spacing w:before="0" w:after="283"/>
              <w:jc w:val="left"/>
              <w:rPr>
                <w:sz w:val="20"/>
              </w:rPr>
            </w:pPr>
            <w:r>
              <w:rPr>
                <w:sz w:val="20"/>
              </w:rPr>
              <w:t>Share of losses from an equity method investment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sz w:val="20"/>
              </w:rPr>
            </w:pPr>
            <w:r>
              <w:rPr>
                <w:sz w:val="20"/>
              </w:rPr>
              <w:t>(1,828</w:t>
            </w:r>
          </w:p>
        </w:tc>
        <w:tc>
          <w:tcPr>
            <w:tcW w:w="107" w:type="dxa"/>
            <w:tcBorders/>
            <w:shd w:fill="CCEEFF" w:val="clear"/>
            <w:vAlign w:val="center"/>
          </w:tcPr>
          <w:p>
            <w:pPr>
              <w:pStyle w:val="TableContents"/>
              <w:bidi w:val="0"/>
              <w:spacing w:before="0" w:after="283"/>
              <w:jc w:val="lef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b/>
                <w:sz w:val="20"/>
              </w:rPr>
            </w:pPr>
            <w:r>
              <w:rPr>
                <w:b/>
                <w:sz w:val="20"/>
              </w:rPr>
              <w:t>(3,016</w:t>
            </w:r>
          </w:p>
        </w:tc>
        <w:tc>
          <w:tcPr>
            <w:tcW w:w="107" w:type="dxa"/>
            <w:tcBorders/>
            <w:shd w:fill="CCEEFF" w:val="clear"/>
            <w:vAlign w:val="center"/>
          </w:tcPr>
          <w:p>
            <w:pPr>
              <w:pStyle w:val="TableContents"/>
              <w:bidi w:val="0"/>
              <w:spacing w:before="0" w:after="283"/>
              <w:jc w:val="left"/>
              <w:rPr>
                <w:b/>
                <w:sz w:val="20"/>
              </w:rPr>
            </w:pPr>
            <w:r>
              <w:rPr>
                <w:b/>
                <w:sz w:val="20"/>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b/>
                <w:sz w:val="20"/>
              </w:rPr>
            </w:pPr>
            <w:r>
              <w:rPr>
                <w:b/>
                <w:sz w:val="20"/>
              </w:rPr>
              <w:t>(445</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4055" w:type="dxa"/>
            <w:tcBorders/>
            <w:shd w:fill="FFFFFF" w:val="clear"/>
            <w:vAlign w:val="center"/>
          </w:tcPr>
          <w:p>
            <w:pPr>
              <w:pStyle w:val="TableContents"/>
              <w:bidi w:val="0"/>
              <w:spacing w:before="0" w:after="283"/>
              <w:jc w:val="left"/>
              <w:rPr>
                <w:sz w:val="20"/>
              </w:rPr>
            </w:pPr>
            <w:r>
              <w:rPr>
                <w:sz w:val="20"/>
              </w:rPr>
              <w:t>Gross unrealized gain on equity investments held</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b/>
                <w:sz w:val="20"/>
              </w:rPr>
            </w:pPr>
            <w:r>
              <w:rPr>
                <w:b/>
                <w:sz w:val="20"/>
              </w:rPr>
              <w:t>23,246</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b/>
                <w:sz w:val="20"/>
              </w:rPr>
            </w:pPr>
            <w:r>
              <w:rPr>
                <w:b/>
                <w:sz w:val="20"/>
              </w:rPr>
              <w:t>3,426</w:t>
            </w:r>
          </w:p>
        </w:tc>
        <w:tc>
          <w:tcPr>
            <w:tcW w:w="95"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sz w:val="20"/>
              </w:rPr>
            </w:pPr>
            <w:r>
              <w:rPr>
                <w:sz w:val="20"/>
              </w:rPr>
              <w:t>Changes in fair value of currency swap</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3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6,692</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91"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(9,297</w:t>
            </w:r>
          </w:p>
        </w:tc>
        <w:tc>
          <w:tcPr>
            <w:tcW w:w="107" w:type="dxa"/>
            <w:tcBorders/>
            <w:shd w:fill="CCEEFF" w:val="clear"/>
            <w:vAlign w:val="center"/>
          </w:tcPr>
          <w:p>
            <w:pPr>
              <w:pStyle w:val="TableContents"/>
              <w:bidi w:val="0"/>
              <w:spacing w:before="0" w:after="283"/>
              <w:jc w:val="left"/>
              <w:rPr>
                <w:b/>
                <w:sz w:val="20"/>
              </w:rPr>
            </w:pPr>
            <w:r>
              <w:rPr>
                <w:b/>
                <w:sz w:val="20"/>
              </w:rPr>
              <w:t>)</w:t>
            </w:r>
          </w:p>
        </w:tc>
        <w:tc>
          <w:tcPr>
            <w:tcW w:w="8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3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(1,370</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73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4,864</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791"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10,933</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730"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1,611</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sz w:val="20"/>
        </w:rPr>
      </w:pPr>
      <w:r>
        <w:rPr>
          <w:rFonts w:ascii="Times New Roman;Times;Serif" w:hAnsi="Times New Roman;Times;Serif"/>
          <w:sz w:val="20"/>
        </w:rPr>
        <w:t>The following table presents the Group’s other income (expense), net:        </w:t>
      </w:r>
    </w:p>
    <w:p>
      <w:pPr>
        <w:pStyle w:val="TextBody"/>
        <w:bidi w:val="0"/>
        <w:spacing w:before="0" w:after="283"/>
        <w:jc w:val="left"/>
        <w:rPr/>
      </w:pPr>
      <w:r>
        <w:rPr/>
        <w:t> </w:t>
      </w:r>
    </w:p>
    <w:tbl>
      <w:tblPr>
        <w:tblW w:w="5814" w:type="dxa"/>
        <w:jc w:val="left"/>
        <w:tblInd w:w="0" w:type="dxa"/>
        <w:tblLayout w:type="fixed"/>
        <w:tblCellMar>
          <w:top w:w="0" w:type="dxa"/>
          <w:left w:w="0" w:type="dxa"/>
          <w:bottom w:w="0" w:type="dxa"/>
          <w:right w:w="0" w:type="dxa"/>
        </w:tblCellMar>
      </w:tblPr>
      <w:tblGrid>
        <w:gridCol w:w="2795"/>
        <w:gridCol w:w="60"/>
        <w:gridCol w:w="74"/>
        <w:gridCol w:w="809"/>
        <w:gridCol w:w="99"/>
        <w:gridCol w:w="74"/>
        <w:gridCol w:w="74"/>
        <w:gridCol w:w="809"/>
        <w:gridCol w:w="99"/>
        <w:gridCol w:w="74"/>
        <w:gridCol w:w="74"/>
        <w:gridCol w:w="678"/>
        <w:gridCol w:w="95"/>
      </w:tblGrid>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4"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 June 30,</w:t>
            </w:r>
          </w:p>
        </w:tc>
        <w:tc>
          <w:tcPr>
            <w:tcW w:w="9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3"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99" w:type="dxa"/>
            <w:tcBorders/>
            <w:vAlign w:val="center"/>
          </w:tcPr>
          <w:p>
            <w:pPr>
              <w:pStyle w:val="TableContents"/>
              <w:bidi w:val="0"/>
              <w:spacing w:before="0" w:after="283"/>
              <w:jc w:val="center"/>
              <w:rPr/>
            </w:pPr>
            <w:r>
              <w:rPr/>
              <w:t> </w:t>
            </w:r>
          </w:p>
        </w:tc>
        <w:tc>
          <w:tcPr>
            <w:tcW w:w="74" w:type="dxa"/>
            <w:tcBorders/>
            <w:vAlign w:val="center"/>
          </w:tcPr>
          <w:p>
            <w:pPr>
              <w:pStyle w:val="TableContents"/>
              <w:bidi w:val="0"/>
              <w:spacing w:before="0" w:after="283"/>
              <w:jc w:val="center"/>
              <w:rPr/>
            </w:pPr>
            <w:r>
              <w:rPr/>
              <w:t> </w:t>
            </w:r>
          </w:p>
        </w:tc>
        <w:tc>
          <w:tcPr>
            <w:tcW w:w="883"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99" w:type="dxa"/>
            <w:tcBorders/>
            <w:vAlign w:val="center"/>
          </w:tcPr>
          <w:p>
            <w:pPr>
              <w:pStyle w:val="TableContents"/>
              <w:bidi w:val="0"/>
              <w:spacing w:before="0" w:after="283"/>
              <w:jc w:val="center"/>
              <w:rPr/>
            </w:pPr>
            <w:r>
              <w:rPr/>
              <w:t> </w:t>
            </w:r>
          </w:p>
        </w:tc>
        <w:tc>
          <w:tcPr>
            <w:tcW w:w="74" w:type="dxa"/>
            <w:tcBorders/>
            <w:vAlign w:val="center"/>
          </w:tcPr>
          <w:p>
            <w:pPr>
              <w:pStyle w:val="TableContents"/>
              <w:bidi w:val="0"/>
              <w:spacing w:before="0" w:after="283"/>
              <w:jc w:val="center"/>
              <w:rPr/>
            </w:pPr>
            <w:r>
              <w:rPr/>
              <w:t> </w:t>
            </w:r>
          </w:p>
        </w:tc>
        <w:tc>
          <w:tcPr>
            <w:tcW w:w="75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95" w:type="dxa"/>
            <w:tcBorders/>
            <w:vAlign w:val="center"/>
          </w:tcPr>
          <w:p>
            <w:pPr>
              <w:pStyle w:val="TableContents"/>
              <w:bidi w:val="0"/>
              <w:spacing w:before="0" w:after="283"/>
              <w:jc w:val="center"/>
              <w:rPr/>
            </w:pPr>
            <w:r>
              <w:rPr/>
              <w:t> </w:t>
            </w:r>
          </w:p>
        </w:tc>
      </w:tr>
      <w:tr>
        <w:trPr/>
        <w:tc>
          <w:tcPr>
            <w:tcW w:w="27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3" w:type="dxa"/>
            <w:gridSpan w:val="2"/>
            <w:tcBorders>
              <w:bottom w:val="single" w:sz="8" w:space="0" w:color="000000"/>
            </w:tcBorders>
            <w:tcMar>
              <w:bottom w:w="28" w:type="dxa"/>
            </w:tcMar>
            <w:vAlign w:val="center"/>
          </w:tcPr>
          <w:p>
            <w:pPr>
              <w:pStyle w:val="TableContents"/>
              <w:bidi w:val="0"/>
              <w:spacing w:before="0" w:after="283"/>
              <w:jc w:val="center"/>
              <w:rPr>
                <w:i/>
                <w:sz w:val="20"/>
              </w:rPr>
            </w:pPr>
            <w:r>
              <w:rPr>
                <w:i/>
                <w:sz w:val="20"/>
              </w:rPr>
              <w:t>RMB</w:t>
            </w:r>
          </w:p>
        </w:tc>
        <w:tc>
          <w:tcPr>
            <w:tcW w:w="99" w:type="dxa"/>
            <w:tcBorders/>
            <w:vAlign w:val="center"/>
          </w:tcPr>
          <w:p>
            <w:pPr>
              <w:pStyle w:val="TableContents"/>
              <w:bidi w:val="0"/>
              <w:spacing w:before="0" w:after="283"/>
              <w:jc w:val="center"/>
              <w:rPr/>
            </w:pPr>
            <w:r>
              <w:rPr/>
              <w:t> </w:t>
            </w:r>
          </w:p>
        </w:tc>
        <w:tc>
          <w:tcPr>
            <w:tcW w:w="74" w:type="dxa"/>
            <w:tcBorders/>
            <w:vAlign w:val="center"/>
          </w:tcPr>
          <w:p>
            <w:pPr>
              <w:pStyle w:val="TableContents"/>
              <w:bidi w:val="0"/>
              <w:spacing w:before="0" w:after="283"/>
              <w:jc w:val="center"/>
              <w:rPr/>
            </w:pPr>
            <w:r>
              <w:rPr/>
              <w:t> </w:t>
            </w:r>
          </w:p>
        </w:tc>
        <w:tc>
          <w:tcPr>
            <w:tcW w:w="883"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RMB</w:t>
            </w:r>
          </w:p>
        </w:tc>
        <w:tc>
          <w:tcPr>
            <w:tcW w:w="99" w:type="dxa"/>
            <w:tcBorders/>
            <w:vAlign w:val="center"/>
          </w:tcPr>
          <w:p>
            <w:pPr>
              <w:pStyle w:val="TableContents"/>
              <w:bidi w:val="0"/>
              <w:spacing w:before="0" w:after="283"/>
              <w:jc w:val="center"/>
              <w:rPr/>
            </w:pPr>
            <w:r>
              <w:rPr/>
              <w:t> </w:t>
            </w:r>
          </w:p>
        </w:tc>
        <w:tc>
          <w:tcPr>
            <w:tcW w:w="74" w:type="dxa"/>
            <w:tcBorders/>
            <w:vAlign w:val="center"/>
          </w:tcPr>
          <w:p>
            <w:pPr>
              <w:pStyle w:val="TableContents"/>
              <w:bidi w:val="0"/>
              <w:spacing w:before="0" w:after="283"/>
              <w:jc w:val="center"/>
              <w:rPr/>
            </w:pPr>
            <w:r>
              <w:rPr/>
              <w:t> </w:t>
            </w:r>
          </w:p>
        </w:tc>
        <w:tc>
          <w:tcPr>
            <w:tcW w:w="752"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US$</w:t>
            </w:r>
          </w:p>
        </w:tc>
        <w:tc>
          <w:tcPr>
            <w:tcW w:w="95" w:type="dxa"/>
            <w:tcBorders/>
            <w:vAlign w:val="center"/>
          </w:tcPr>
          <w:p>
            <w:pPr>
              <w:pStyle w:val="TableContents"/>
              <w:bidi w:val="0"/>
              <w:spacing w:before="0" w:after="283"/>
              <w:jc w:val="center"/>
              <w:rPr/>
            </w:pPr>
            <w:r>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24,616</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8,372</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ADS Reimbursement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11,070</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Value added tax transferred out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(17,145</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(12,783</w:t>
            </w:r>
          </w:p>
        </w:tc>
        <w:tc>
          <w:tcPr>
            <w:tcW w:w="9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(1,884</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3,789</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80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16,510</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809"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(622</w:t>
            </w:r>
          </w:p>
        </w:tc>
        <w:tc>
          <w:tcPr>
            <w:tcW w:w="99" w:type="dxa"/>
            <w:tcBorders/>
            <w:shd w:fill="CCEEFF" w:val="clear"/>
            <w:vAlign w:val="center"/>
          </w:tcPr>
          <w:p>
            <w:pPr>
              <w:pStyle w:val="TableContents"/>
              <w:bidi w:val="0"/>
              <w:spacing w:before="0" w:after="283"/>
              <w:jc w:val="left"/>
              <w:rPr>
                <w:b/>
                <w:sz w:val="20"/>
              </w:rPr>
            </w:pPr>
            <w:r>
              <w:rPr>
                <w:b/>
                <w:sz w:val="20"/>
              </w:rPr>
              <w:t>)</w:t>
            </w:r>
          </w:p>
        </w:tc>
        <w:tc>
          <w:tcPr>
            <w:tcW w:w="74" w:type="dxa"/>
            <w:tcBorders/>
            <w:shd w:fill="CCEEFF" w:val="clear"/>
            <w:vAlign w:val="center"/>
          </w:tcPr>
          <w:p>
            <w:pPr>
              <w:pStyle w:val="TableContents"/>
              <w:bidi w:val="0"/>
              <w:spacing w:before="0" w:after="283"/>
              <w:jc w:val="left"/>
              <w:rPr/>
            </w:pPr>
            <w:r>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678"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(92</w:t>
            </w:r>
          </w:p>
        </w:tc>
        <w:tc>
          <w:tcPr>
            <w:tcW w:w="95" w:type="dxa"/>
            <w:tcBorders/>
            <w:shd w:fill="CCEEFF" w:val="cle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003" w:type="dxa"/>
        <w:jc w:val="left"/>
        <w:tblInd w:w="0" w:type="dxa"/>
        <w:tblLayout w:type="fixed"/>
        <w:tblCellMar>
          <w:top w:w="0" w:type="dxa"/>
          <w:left w:w="0" w:type="dxa"/>
          <w:bottom w:w="0" w:type="dxa"/>
          <w:right w:w="0" w:type="dxa"/>
        </w:tblCellMar>
      </w:tblPr>
      <w:tblGrid>
        <w:gridCol w:w="38"/>
        <w:gridCol w:w="17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27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ACCOUTS RECEIVABLE, NET</w:t>
            </w:r>
          </w:p>
        </w:tc>
      </w:tr>
    </w:tbl>
    <w:p>
      <w:pPr>
        <w:pStyle w:val="TextBody"/>
        <w:bidi w:val="0"/>
        <w:spacing w:before="0" w:after="283"/>
        <w:jc w:val="left"/>
        <w:rPr/>
      </w:pPr>
      <w:r>
        <w:rPr/>
        <w:t> </w:t>
      </w:r>
    </w:p>
    <w:tbl>
      <w:tblPr>
        <w:tblW w:w="5732" w:type="dxa"/>
        <w:jc w:val="left"/>
        <w:tblInd w:w="0" w:type="dxa"/>
        <w:tblLayout w:type="fixed"/>
        <w:tblCellMar>
          <w:top w:w="0" w:type="dxa"/>
          <w:left w:w="0" w:type="dxa"/>
          <w:bottom w:w="0" w:type="dxa"/>
          <w:right w:w="0" w:type="dxa"/>
        </w:tblCellMar>
      </w:tblPr>
      <w:tblGrid>
        <w:gridCol w:w="2210"/>
        <w:gridCol w:w="60"/>
        <w:gridCol w:w="73"/>
        <w:gridCol w:w="1056"/>
        <w:gridCol w:w="80"/>
        <w:gridCol w:w="60"/>
        <w:gridCol w:w="63"/>
        <w:gridCol w:w="916"/>
        <w:gridCol w:w="80"/>
        <w:gridCol w:w="60"/>
        <w:gridCol w:w="77"/>
        <w:gridCol w:w="902"/>
        <w:gridCol w:w="95"/>
      </w:tblGrid>
      <w:tr>
        <w:trPr/>
        <w:tc>
          <w:tcPr>
            <w:tcW w:w="2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367"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As at</w:t>
            </w:r>
          </w:p>
        </w:tc>
        <w:tc>
          <w:tcPr>
            <w:tcW w:w="95" w:type="dxa"/>
            <w:tcBorders/>
            <w:vAlign w:val="center"/>
          </w:tcPr>
          <w:p>
            <w:pPr>
              <w:pStyle w:val="TableContents"/>
              <w:bidi w:val="0"/>
              <w:spacing w:before="0" w:after="283"/>
              <w:jc w:val="center"/>
              <w:rPr/>
            </w:pPr>
            <w:r>
              <w:rPr/>
              <w:t> </w:t>
            </w:r>
          </w:p>
        </w:tc>
      </w:tr>
      <w:tr>
        <w:trPr/>
        <w:tc>
          <w:tcPr>
            <w:tcW w:w="2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2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95" w:type="dxa"/>
            <w:tcBorders/>
            <w:vAlign w:val="center"/>
          </w:tcPr>
          <w:p>
            <w:pPr>
              <w:pStyle w:val="TableContents"/>
              <w:bidi w:val="0"/>
              <w:spacing w:before="0" w:after="283"/>
              <w:jc w:val="center"/>
              <w:rPr/>
            </w:pPr>
            <w:r>
              <w:rPr/>
              <w:t> </w:t>
            </w:r>
          </w:p>
        </w:tc>
      </w:tr>
      <w:tr>
        <w:trPr/>
        <w:tc>
          <w:tcPr>
            <w:tcW w:w="2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i/>
                <w:sz w:val="20"/>
              </w:rPr>
            </w:pPr>
            <w:r>
              <w:rPr>
                <w:i/>
                <w:sz w:val="20"/>
              </w:rPr>
              <w:t>RMB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RMB</w:t>
              <w:br/>
              <w:t>(unaudited)</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US$</w:t>
              <w:br/>
              <w:t>(unaudited)</w:t>
            </w:r>
          </w:p>
        </w:tc>
        <w:tc>
          <w:tcPr>
            <w:tcW w:w="95" w:type="dxa"/>
            <w:tcBorders/>
            <w:vAlign w:val="center"/>
          </w:tcPr>
          <w:p>
            <w:pPr>
              <w:pStyle w:val="TableContents"/>
              <w:bidi w:val="0"/>
              <w:spacing w:before="0" w:after="283"/>
              <w:jc w:val="center"/>
              <w:rPr/>
            </w:pPr>
            <w:r>
              <w:rPr/>
              <w:t> </w:t>
            </w:r>
          </w:p>
        </w:tc>
      </w:tr>
      <w:tr>
        <w:trPr/>
        <w:tc>
          <w:tcPr>
            <w:tcW w:w="2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1,839,894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2,564,036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377,892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Allowance for credit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0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(99,422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(130,861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(19,286</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10" w:type="dxa"/>
            <w:tcBorders/>
            <w:shd w:fill="FFFFFF" w:val="clear"/>
            <w:vAlign w:val="center"/>
          </w:tcPr>
          <w:p>
            <w:pPr>
              <w:pStyle w:val="TableContents"/>
              <w:bidi w:val="0"/>
              <w:spacing w:before="0" w:after="283"/>
              <w:jc w:val="left"/>
              <w:rPr>
                <w:sz w:val="20"/>
              </w:rPr>
            </w:pPr>
            <w:r>
              <w:rPr>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1056"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1,740,472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2,433,175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902"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358,606</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aging analysis of the accounts receivable as at the end of the reporting period, based on the past due date and net of provisions, is as follows:</w:t>
      </w:r>
    </w:p>
    <w:p>
      <w:pPr>
        <w:pStyle w:val="TextBody"/>
        <w:bidi w:val="0"/>
        <w:spacing w:before="0" w:after="0"/>
        <w:ind w:left="0" w:right="0" w:hanging="0"/>
        <w:jc w:val="left"/>
        <w:rPr>
          <w:caps w:val="false"/>
          <w:smallCaps w:val="false"/>
        </w:rPr>
      </w:pPr>
      <w:r>
        <w:rPr>
          <w:caps w:val="false"/>
          <w:smallCaps w:val="false"/>
        </w:rPr>
        <w:t> </w:t>
      </w:r>
    </w:p>
    <w:tbl>
      <w:tblPr>
        <w:tblW w:w="6137" w:type="dxa"/>
        <w:jc w:val="left"/>
        <w:tblInd w:w="0" w:type="dxa"/>
        <w:tblLayout w:type="fixed"/>
        <w:tblCellMar>
          <w:top w:w="0" w:type="dxa"/>
          <w:left w:w="0" w:type="dxa"/>
          <w:bottom w:w="0" w:type="dxa"/>
          <w:right w:w="0" w:type="dxa"/>
        </w:tblCellMar>
      </w:tblPr>
      <w:tblGrid>
        <w:gridCol w:w="2675"/>
        <w:gridCol w:w="60"/>
        <w:gridCol w:w="73"/>
        <w:gridCol w:w="1056"/>
        <w:gridCol w:w="60"/>
        <w:gridCol w:w="60"/>
        <w:gridCol w:w="63"/>
        <w:gridCol w:w="916"/>
        <w:gridCol w:w="60"/>
        <w:gridCol w:w="60"/>
        <w:gridCol w:w="77"/>
        <w:gridCol w:w="902"/>
        <w:gridCol w:w="75"/>
      </w:tblGrid>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7"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7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i/>
                <w:sz w:val="20"/>
              </w:rPr>
            </w:pPr>
            <w:r>
              <w:rPr>
                <w:i/>
                <w:sz w:val="20"/>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RMB</w:t>
              <w:br/>
              <w:t>(unaudited)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US$</w:t>
              <w:br/>
              <w:t>(unaudited)</w:t>
            </w:r>
          </w:p>
        </w:tc>
        <w:tc>
          <w:tcPr>
            <w:tcW w:w="75"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yet due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1,123,859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1,460,794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215,294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3 months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335,166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537,391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79,202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4 months and 6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151,589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234,473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34,557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7 months and 1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77,316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123,706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18,232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than 1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76,811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11,321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vAlign w:val="center"/>
          </w:tcPr>
          <w:p>
            <w:pPr>
              <w:pStyle w:val="TableContents"/>
              <w:bidi w:val="0"/>
              <w:spacing w:before="0" w:after="283"/>
              <w:jc w:val="left"/>
              <w:rPr>
                <w:sz w:val="20"/>
              </w:rPr>
            </w:pPr>
            <w:r>
              <w:rPr>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1,740,472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2,433,175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2"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358,606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593" w:type="dxa"/>
        <w:jc w:val="left"/>
        <w:tblInd w:w="0" w:type="dxa"/>
        <w:tblLayout w:type="fixed"/>
        <w:tblCellMar>
          <w:top w:w="0" w:type="dxa"/>
          <w:left w:w="0" w:type="dxa"/>
          <w:bottom w:w="0" w:type="dxa"/>
          <w:right w:w="0" w:type="dxa"/>
        </w:tblCellMar>
      </w:tblPr>
      <w:tblGrid>
        <w:gridCol w:w="38"/>
        <w:gridCol w:w="20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5.</w:t>
            </w:r>
          </w:p>
        </w:tc>
        <w:tc>
          <w:tcPr>
            <w:tcW w:w="1355" w:type="dxa"/>
            <w:tcBorders/>
            <w:vAlign w:val="center"/>
          </w:tcPr>
          <w:p>
            <w:pPr>
              <w:pStyle w:val="TableContents"/>
              <w:bidi w:val="0"/>
              <w:spacing w:before="0" w:after="283"/>
              <w:jc w:val="left"/>
              <w:rPr>
                <w:b/>
              </w:rPr>
            </w:pPr>
            <w:r>
              <w:rPr>
                <w:b/>
              </w:rPr>
              <w:t>TAXATION</w:t>
            </w:r>
          </w:p>
        </w:tc>
      </w:tr>
    </w:tbl>
    <w:p>
      <w:pPr>
        <w:pStyle w:val="TextBody"/>
        <w:bidi w:val="0"/>
        <w:spacing w:before="0" w:after="0"/>
        <w:ind w:left="0" w:right="0" w:hanging="0"/>
        <w:jc w:val="left"/>
        <w:rPr>
          <w:caps w:val="false"/>
          <w:smallCaps w:val="false"/>
        </w:rPr>
      </w:pPr>
      <w:r>
        <w:rPr>
          <w:caps w:val="false"/>
          <w:smallCaps w:val="false"/>
        </w:rPr>
        <w:t> </w:t>
      </w:r>
    </w:p>
    <w:tbl>
      <w:tblPr>
        <w:tblW w:w="2598" w:type="dxa"/>
        <w:jc w:val="left"/>
        <w:tblInd w:w="0" w:type="dxa"/>
        <w:tblLayout w:type="fixed"/>
        <w:tblCellMar>
          <w:top w:w="0" w:type="dxa"/>
          <w:left w:w="0" w:type="dxa"/>
          <w:bottom w:w="0" w:type="dxa"/>
          <w:right w:w="0" w:type="dxa"/>
        </w:tblCellMar>
      </w:tblPr>
      <w:tblGrid>
        <w:gridCol w:w="38"/>
        <w:gridCol w:w="290"/>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rPr>
            </w:pPr>
            <w:r>
              <w:rPr>
                <w:b/>
              </w:rPr>
              <w:t>(a)</w:t>
            </w:r>
          </w:p>
        </w:tc>
        <w:tc>
          <w:tcPr>
            <w:tcW w:w="2270" w:type="dxa"/>
            <w:tcBorders/>
            <w:vAlign w:val="center"/>
          </w:tcPr>
          <w:p>
            <w:pPr>
              <w:pStyle w:val="TableContents"/>
              <w:bidi w:val="0"/>
              <w:spacing w:before="0" w:after="283"/>
              <w:jc w:val="left"/>
              <w:rPr>
                <w:b/>
              </w:rPr>
            </w:pPr>
            <w:r>
              <w:rPr>
                <w:b/>
              </w:rPr>
              <w:t>Enterprise income tax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laws of the Cayman Islands, the Company is not subject to tax on income or capital gains.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Hong Kong</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subsidiaries incorporated in Hong Kong are subject to income tax at the rate of 16.5% on the estimated assessable profits arising in Hong Kong. For the periods presented, the Group did not make any provisions for Hong Kong profit tax as the Group did not generate any assessable profits arising in Hong Kong at the end of each reporting period. Under the Hong Kong tax law, the subsidiaries in Hong Kong are exempted from income tax on their foreign-derived income and there are no withholding taxes in Hong Kong on remittance of dividends.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Chinese Mainland</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Chinese Mainland entities are subject to the statutory income tax rate of 25%, in accordance with the Enterprise Income Tax law (the “</w:t>
      </w:r>
      <w:r>
        <w:rPr>
          <w:rFonts w:ascii="Times New Roman;Times;Serif" w:hAnsi="Times New Roman;Times;Serif"/>
          <w:b/>
          <w:i w:val="false"/>
          <w:caps w:val="false"/>
          <w:smallCaps w:val="false"/>
          <w:sz w:val="20"/>
        </w:rPr>
        <w:t>EIT Law</w:t>
      </w:r>
      <w:r>
        <w:rPr>
          <w:rFonts w:ascii="Times New Roman;Times;Serif" w:hAnsi="Times New Roman;Times;Serif"/>
          <w:b w:val="false"/>
          <w:i w:val="false"/>
          <w:caps w:val="false"/>
          <w:smallCaps w:val="false"/>
          <w:sz w:val="20"/>
        </w:rPr>
        <w:t>”), which was effective since January 1, 2008. Certain subsidiaries of the Group being qualified as a High New Technology Enterprise (“</w:t>
      </w:r>
      <w:r>
        <w:rPr>
          <w:rFonts w:ascii="Times New Roman;Times;Serif" w:hAnsi="Times New Roman;Times;Serif"/>
          <w:b/>
          <w:i w:val="false"/>
          <w:caps w:val="false"/>
          <w:smallCaps w:val="false"/>
          <w:sz w:val="20"/>
        </w:rPr>
        <w:t>HNTE</w:t>
      </w:r>
      <w:r>
        <w:rPr>
          <w:rFonts w:ascii="Times New Roman;Times;Serif" w:hAnsi="Times New Roman;Times;Serif"/>
          <w:b w:val="false"/>
          <w:i w:val="false"/>
          <w:caps w:val="false"/>
          <w:smallCaps w:val="false"/>
          <w:sz w:val="20"/>
        </w:rPr>
        <w:t>”) are entitled to the preferential income tax rate of 15%. Dividends, interests, rent or royalties payable by the Group’s Chinese Mainland entities to non-resident enterprises, and proceeds from any such non-resident enterprise investor’s disposition of assets (after deducting the net value of such assets) shall be subject to 10% EIT, namely withholding tax, unless the respective non-resident enterprise’s jurisdiction of incorporation has a tax treaty or arrangements with Chinese Mainland that provides for a reduced withholding tax rate or an exemption from withholding tax.</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income taxes consists of:</w:t>
      </w:r>
    </w:p>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1940"/>
        <w:gridCol w:w="60"/>
        <w:gridCol w:w="65"/>
        <w:gridCol w:w="827"/>
        <w:gridCol w:w="87"/>
        <w:gridCol w:w="65"/>
        <w:gridCol w:w="65"/>
        <w:gridCol w:w="827"/>
        <w:gridCol w:w="87"/>
        <w:gridCol w:w="65"/>
        <w:gridCol w:w="65"/>
        <w:gridCol w:w="712"/>
        <w:gridCol w:w="95"/>
      </w:tblGrid>
      <w:tr>
        <w:trPr/>
        <w:tc>
          <w:tcPr>
            <w:tcW w:w="1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65"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 June 30,</w:t>
            </w:r>
          </w:p>
        </w:tc>
        <w:tc>
          <w:tcPr>
            <w:tcW w:w="95" w:type="dxa"/>
            <w:tcBorders/>
            <w:vAlign w:val="center"/>
          </w:tcPr>
          <w:p>
            <w:pPr>
              <w:pStyle w:val="TableContents"/>
              <w:bidi w:val="0"/>
              <w:spacing w:before="0" w:after="283"/>
              <w:jc w:val="center"/>
              <w:rPr/>
            </w:pPr>
            <w:r>
              <w:rPr/>
              <w:t> </w:t>
            </w:r>
          </w:p>
        </w:tc>
      </w:tr>
      <w:tr>
        <w:trPr/>
        <w:tc>
          <w:tcPr>
            <w:tcW w:w="1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2"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87"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center"/>
              <w:rPr/>
            </w:pPr>
            <w:r>
              <w:rPr/>
              <w:t> </w:t>
            </w:r>
          </w:p>
        </w:tc>
        <w:tc>
          <w:tcPr>
            <w:tcW w:w="89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7"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center"/>
              <w:rPr/>
            </w:pPr>
            <w:r>
              <w:rPr/>
              <w:t> </w:t>
            </w:r>
          </w:p>
        </w:tc>
        <w:tc>
          <w:tcPr>
            <w:tcW w:w="777"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95" w:type="dxa"/>
            <w:tcBorders/>
            <w:vAlign w:val="center"/>
          </w:tcPr>
          <w:p>
            <w:pPr>
              <w:pStyle w:val="TableContents"/>
              <w:bidi w:val="0"/>
              <w:spacing w:before="0" w:after="283"/>
              <w:jc w:val="center"/>
              <w:rPr/>
            </w:pPr>
            <w:r>
              <w:rPr/>
              <w:t> </w:t>
            </w:r>
          </w:p>
        </w:tc>
      </w:tr>
      <w:tr>
        <w:trPr/>
        <w:tc>
          <w:tcPr>
            <w:tcW w:w="1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2" w:type="dxa"/>
            <w:gridSpan w:val="2"/>
            <w:tcBorders>
              <w:bottom w:val="single" w:sz="8" w:space="0" w:color="000000"/>
            </w:tcBorders>
            <w:tcMar>
              <w:bottom w:w="28" w:type="dxa"/>
            </w:tcMar>
            <w:vAlign w:val="center"/>
          </w:tcPr>
          <w:p>
            <w:pPr>
              <w:pStyle w:val="TableContents"/>
              <w:bidi w:val="0"/>
              <w:spacing w:before="0" w:after="283"/>
              <w:jc w:val="center"/>
              <w:rPr>
                <w:i/>
                <w:sz w:val="20"/>
              </w:rPr>
            </w:pPr>
            <w:r>
              <w:rPr>
                <w:i/>
                <w:sz w:val="20"/>
              </w:rPr>
              <w:t>RMB</w:t>
            </w:r>
          </w:p>
        </w:tc>
        <w:tc>
          <w:tcPr>
            <w:tcW w:w="87"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center"/>
              <w:rPr/>
            </w:pPr>
            <w:r>
              <w:rPr/>
              <w:t> </w:t>
            </w:r>
          </w:p>
        </w:tc>
        <w:tc>
          <w:tcPr>
            <w:tcW w:w="892"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RMB</w:t>
            </w:r>
          </w:p>
        </w:tc>
        <w:tc>
          <w:tcPr>
            <w:tcW w:w="87"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center"/>
              <w:rPr/>
            </w:pPr>
            <w:r>
              <w:rPr/>
              <w:t> </w:t>
            </w:r>
          </w:p>
        </w:tc>
        <w:tc>
          <w:tcPr>
            <w:tcW w:w="777"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US$</w:t>
            </w:r>
          </w:p>
        </w:tc>
        <w:tc>
          <w:tcPr>
            <w:tcW w:w="95" w:type="dxa"/>
            <w:tcBorders/>
            <w:vAlign w:val="center"/>
          </w:tcPr>
          <w:p>
            <w:pPr>
              <w:pStyle w:val="TableContents"/>
              <w:bidi w:val="0"/>
              <w:spacing w:before="0" w:after="283"/>
              <w:jc w:val="center"/>
              <w:rPr/>
            </w:pPr>
            <w:r>
              <w:rPr/>
              <w:t> </w:t>
            </w:r>
          </w:p>
        </w:tc>
      </w:tr>
      <w:tr>
        <w:trPr/>
        <w:tc>
          <w:tcPr>
            <w:tcW w:w="19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Chinese Mainland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(671,686</w:t>
            </w:r>
          </w:p>
        </w:tc>
        <w:tc>
          <w:tcPr>
            <w:tcW w:w="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(471,516</w:t>
            </w:r>
          </w:p>
        </w:tc>
        <w:tc>
          <w:tcPr>
            <w:tcW w:w="8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(69,494</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19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Non-Chinese Mainland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(89,703</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56,407</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8,313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2" w:space="0" w:color="000000"/>
            </w:tcBorders>
            <w:shd w:fill="CCEEFF" w:val="clear"/>
            <w:tcMar>
              <w:bottom w:w="50" w:type="dxa"/>
            </w:tcMar>
            <w:vAlign w:val="center"/>
          </w:tcPr>
          <w:p>
            <w:pPr>
              <w:pStyle w:val="TableContents"/>
              <w:bidi w:val="0"/>
              <w:spacing w:before="0" w:after="283"/>
              <w:jc w:val="left"/>
              <w:rPr/>
            </w:pPr>
            <w:r>
              <w:rPr/>
              <w:t> </w:t>
            </w:r>
          </w:p>
        </w:tc>
        <w:tc>
          <w:tcPr>
            <w:tcW w:w="82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(761,389</w:t>
            </w:r>
          </w:p>
        </w:tc>
        <w:tc>
          <w:tcPr>
            <w:tcW w:w="87" w:type="dxa"/>
            <w:tcBorders/>
            <w:shd w:fill="CCEEFF" w:val="clear"/>
            <w:vAlign w:val="center"/>
          </w:tcPr>
          <w:p>
            <w:pPr>
              <w:pStyle w:val="TableContents"/>
              <w:bidi w:val="0"/>
              <w:spacing w:before="0" w:after="283"/>
              <w:jc w:val="left"/>
              <w:rPr>
                <w:sz w:val="20"/>
              </w:rPr>
            </w:pPr>
            <w:r>
              <w:rPr>
                <w:sz w:val="20"/>
              </w:rPr>
              <w:t>)</w:t>
            </w:r>
          </w:p>
        </w:tc>
        <w:tc>
          <w:tcPr>
            <w:tcW w:w="65" w:type="dxa"/>
            <w:tcBorders/>
            <w:shd w:fill="CCEEFF" w:val="clear"/>
            <w:vAlign w:val="center"/>
          </w:tcPr>
          <w:p>
            <w:pPr>
              <w:pStyle w:val="TableContents"/>
              <w:bidi w:val="0"/>
              <w:spacing w:before="0" w:after="283"/>
              <w:jc w:val="left"/>
              <w:rPr/>
            </w:pPr>
            <w:r>
              <w:rPr/>
              <w:t> </w:t>
            </w:r>
          </w:p>
        </w:tc>
        <w:tc>
          <w:tcPr>
            <w:tcW w:w="65" w:type="dxa"/>
            <w:tcBorders>
              <w:bottom w:val="double" w:sz="2" w:space="0" w:color="000000"/>
            </w:tcBorders>
            <w:shd w:fill="CCEEFF" w:val="clear"/>
            <w:tcMar>
              <w:bottom w:w="50" w:type="dxa"/>
            </w:tcMar>
            <w:vAlign w:val="center"/>
          </w:tcPr>
          <w:p>
            <w:pPr>
              <w:pStyle w:val="TableContents"/>
              <w:bidi w:val="0"/>
              <w:spacing w:before="0" w:after="283"/>
              <w:jc w:val="left"/>
              <w:rPr/>
            </w:pPr>
            <w:r>
              <w:rPr/>
              <w:t> </w:t>
            </w:r>
          </w:p>
        </w:tc>
        <w:tc>
          <w:tcPr>
            <w:tcW w:w="827"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(415,109</w:t>
            </w:r>
          </w:p>
        </w:tc>
        <w:tc>
          <w:tcPr>
            <w:tcW w:w="87" w:type="dxa"/>
            <w:tcBorders/>
            <w:shd w:fill="CCEEFF" w:val="clear"/>
            <w:vAlign w:val="center"/>
          </w:tcPr>
          <w:p>
            <w:pPr>
              <w:pStyle w:val="TableContents"/>
              <w:bidi w:val="0"/>
              <w:spacing w:before="0" w:after="283"/>
              <w:jc w:val="left"/>
              <w:rPr>
                <w:b/>
                <w:sz w:val="20"/>
              </w:rPr>
            </w:pPr>
            <w:r>
              <w:rPr>
                <w:b/>
                <w:sz w:val="20"/>
              </w:rPr>
              <w:t>)</w:t>
            </w:r>
          </w:p>
        </w:tc>
        <w:tc>
          <w:tcPr>
            <w:tcW w:w="65" w:type="dxa"/>
            <w:tcBorders/>
            <w:shd w:fill="CCEEFF" w:val="clear"/>
            <w:vAlign w:val="center"/>
          </w:tcPr>
          <w:p>
            <w:pPr>
              <w:pStyle w:val="TableContents"/>
              <w:bidi w:val="0"/>
              <w:spacing w:before="0" w:after="283"/>
              <w:jc w:val="left"/>
              <w:rPr/>
            </w:pPr>
            <w:r>
              <w:rPr/>
              <w:t> </w:t>
            </w:r>
          </w:p>
        </w:tc>
        <w:tc>
          <w:tcPr>
            <w:tcW w:w="65" w:type="dxa"/>
            <w:tcBorders>
              <w:bottom w:val="double" w:sz="2" w:space="0" w:color="000000"/>
            </w:tcBorders>
            <w:shd w:fill="CCEEFF" w:val="clear"/>
            <w:tcMar>
              <w:bottom w:w="50" w:type="dxa"/>
            </w:tcMar>
            <w:vAlign w:val="center"/>
          </w:tcPr>
          <w:p>
            <w:pPr>
              <w:pStyle w:val="TableContents"/>
              <w:bidi w:val="0"/>
              <w:spacing w:before="0" w:after="283"/>
              <w:jc w:val="left"/>
              <w:rPr/>
            </w:pPr>
            <w:r>
              <w:rPr/>
              <w:t> </w:t>
            </w:r>
          </w:p>
        </w:tc>
        <w:tc>
          <w:tcPr>
            <w:tcW w:w="712"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(61,181</w:t>
            </w:r>
          </w:p>
        </w:tc>
        <w:tc>
          <w:tcPr>
            <w:tcW w:w="95" w:type="dxa"/>
            <w:tcBorders/>
            <w:shd w:fill="CCEEFF" w:val="cle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and deferred components of income tax expense appearing in the unaudited condensed consolidated statements of comprehensive loss are as follows:</w:t>
      </w:r>
    </w:p>
    <w:p>
      <w:pPr>
        <w:pStyle w:val="TextBody"/>
        <w:bidi w:val="0"/>
        <w:spacing w:before="0" w:after="0"/>
        <w:ind w:left="0" w:right="0" w:hanging="0"/>
        <w:jc w:val="left"/>
        <w:rPr>
          <w:caps w:val="false"/>
          <w:smallCaps w:val="false"/>
        </w:rPr>
      </w:pPr>
      <w:r>
        <w:rPr>
          <w:caps w:val="false"/>
          <w:smallCaps w:val="false"/>
        </w:rPr>
        <w:t> </w:t>
      </w:r>
    </w:p>
    <w:tbl>
      <w:tblPr>
        <w:tblW w:w="5319" w:type="dxa"/>
        <w:jc w:val="left"/>
        <w:tblInd w:w="0" w:type="dxa"/>
        <w:tblLayout w:type="fixed"/>
        <w:tblCellMar>
          <w:top w:w="0" w:type="dxa"/>
          <w:left w:w="0" w:type="dxa"/>
          <w:bottom w:w="0" w:type="dxa"/>
          <w:right w:w="0" w:type="dxa"/>
        </w:tblCellMar>
      </w:tblPr>
      <w:tblGrid>
        <w:gridCol w:w="2300"/>
        <w:gridCol w:w="60"/>
        <w:gridCol w:w="78"/>
        <w:gridCol w:w="853"/>
        <w:gridCol w:w="105"/>
        <w:gridCol w:w="78"/>
        <w:gridCol w:w="78"/>
        <w:gridCol w:w="774"/>
        <w:gridCol w:w="105"/>
        <w:gridCol w:w="78"/>
        <w:gridCol w:w="78"/>
        <w:gridCol w:w="637"/>
        <w:gridCol w:w="95"/>
      </w:tblGrid>
      <w:tr>
        <w:trPr/>
        <w:tc>
          <w:tcPr>
            <w:tcW w:w="2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64"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 June 30,</w:t>
            </w:r>
          </w:p>
        </w:tc>
        <w:tc>
          <w:tcPr>
            <w:tcW w:w="95" w:type="dxa"/>
            <w:tcBorders/>
            <w:vAlign w:val="center"/>
          </w:tcPr>
          <w:p>
            <w:pPr>
              <w:pStyle w:val="TableContents"/>
              <w:bidi w:val="0"/>
              <w:spacing w:before="0" w:after="283"/>
              <w:jc w:val="center"/>
              <w:rPr/>
            </w:pPr>
            <w:r>
              <w:rPr/>
              <w:t> </w:t>
            </w:r>
          </w:p>
        </w:tc>
      </w:tr>
      <w:tr>
        <w:trPr/>
        <w:tc>
          <w:tcPr>
            <w:tcW w:w="2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1"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105" w:type="dxa"/>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jc w:val="center"/>
              <w:rPr/>
            </w:pPr>
            <w:r>
              <w:rPr/>
              <w:t> </w:t>
            </w:r>
          </w:p>
        </w:tc>
        <w:tc>
          <w:tcPr>
            <w:tcW w:w="85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05" w:type="dxa"/>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jc w:val="center"/>
              <w:rPr/>
            </w:pPr>
            <w:r>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95" w:type="dxa"/>
            <w:tcBorders/>
            <w:vAlign w:val="center"/>
          </w:tcPr>
          <w:p>
            <w:pPr>
              <w:pStyle w:val="TableContents"/>
              <w:bidi w:val="0"/>
              <w:spacing w:before="0" w:after="283"/>
              <w:jc w:val="center"/>
              <w:rPr/>
            </w:pPr>
            <w:r>
              <w:rPr/>
              <w:t> </w:t>
            </w:r>
          </w:p>
        </w:tc>
      </w:tr>
      <w:tr>
        <w:trPr/>
        <w:tc>
          <w:tcPr>
            <w:tcW w:w="2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1" w:type="dxa"/>
            <w:gridSpan w:val="2"/>
            <w:tcBorders>
              <w:bottom w:val="single" w:sz="8" w:space="0" w:color="000000"/>
            </w:tcBorders>
            <w:tcMar>
              <w:bottom w:w="28" w:type="dxa"/>
            </w:tcMar>
            <w:vAlign w:val="center"/>
          </w:tcPr>
          <w:p>
            <w:pPr>
              <w:pStyle w:val="TableContents"/>
              <w:bidi w:val="0"/>
              <w:spacing w:before="0" w:after="283"/>
              <w:jc w:val="center"/>
              <w:rPr>
                <w:i/>
                <w:sz w:val="20"/>
              </w:rPr>
            </w:pPr>
            <w:r>
              <w:rPr>
                <w:i/>
                <w:sz w:val="20"/>
              </w:rPr>
              <w:t>RMB</w:t>
            </w:r>
          </w:p>
        </w:tc>
        <w:tc>
          <w:tcPr>
            <w:tcW w:w="105" w:type="dxa"/>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jc w:val="center"/>
              <w:rPr/>
            </w:pPr>
            <w:r>
              <w:rPr/>
              <w:t> </w:t>
            </w:r>
          </w:p>
        </w:tc>
        <w:tc>
          <w:tcPr>
            <w:tcW w:w="852"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RMB</w:t>
            </w:r>
          </w:p>
        </w:tc>
        <w:tc>
          <w:tcPr>
            <w:tcW w:w="105" w:type="dxa"/>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jc w:val="center"/>
              <w:rPr/>
            </w:pPr>
            <w:r>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US$</w:t>
            </w:r>
          </w:p>
        </w:tc>
        <w:tc>
          <w:tcPr>
            <w:tcW w:w="95" w:type="dxa"/>
            <w:tcBorders/>
            <w:vAlign w:val="center"/>
          </w:tcPr>
          <w:p>
            <w:pPr>
              <w:pStyle w:val="TableContents"/>
              <w:bidi w:val="0"/>
              <w:spacing w:before="0" w:after="283"/>
              <w:jc w:val="center"/>
              <w:rPr/>
            </w:pPr>
            <w:r>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31,977</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22,229</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3,276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benefit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(20,393</w:t>
            </w:r>
          </w:p>
        </w:tc>
        <w:tc>
          <w:tcPr>
            <w:tcW w:w="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(641</w:t>
            </w:r>
          </w:p>
        </w:tc>
        <w:tc>
          <w:tcPr>
            <w:tcW w:w="1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3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2" w:space="0" w:color="000000"/>
            </w:tcBorders>
            <w:shd w:fill="FFFFFF" w:val="clear"/>
            <w:tcMar>
              <w:bottom w:w="28" w:type="dxa"/>
            </w:tcMar>
            <w:vAlign w:val="center"/>
          </w:tcPr>
          <w:p>
            <w:pPr>
              <w:pStyle w:val="TableContents"/>
              <w:bidi w:val="0"/>
              <w:spacing w:before="0" w:after="283"/>
              <w:jc w:val="left"/>
              <w:rPr/>
            </w:pPr>
            <w:r>
              <w:rPr/>
              <w:t> </w:t>
            </w:r>
          </w:p>
        </w:tc>
        <w:tc>
          <w:tcPr>
            <w:tcW w:w="85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11,584</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bottom w:val="double" w:sz="2" w:space="0" w:color="000000"/>
            </w:tcBorders>
            <w:shd w:fill="FFFFFF" w:val="clear"/>
            <w:tcMar>
              <w:bottom w:w="28" w:type="dxa"/>
            </w:tcMar>
            <w:vAlign w:val="center"/>
          </w:tcPr>
          <w:p>
            <w:pPr>
              <w:pStyle w:val="TableContents"/>
              <w:bidi w:val="0"/>
              <w:spacing w:before="0" w:after="283"/>
              <w:jc w:val="left"/>
              <w:rPr/>
            </w:pPr>
            <w:r>
              <w:rPr/>
              <w:t> </w:t>
            </w:r>
          </w:p>
        </w:tc>
        <w:tc>
          <w:tcPr>
            <w:tcW w:w="774"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21,588</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bottom w:val="double" w:sz="2" w:space="0" w:color="000000"/>
            </w:tcBorders>
            <w:shd w:fill="FFFFFF" w:val="clear"/>
            <w:tcMar>
              <w:bottom w:w="28" w:type="dxa"/>
            </w:tcMar>
            <w:vAlign w:val="center"/>
          </w:tcPr>
          <w:p>
            <w:pPr>
              <w:pStyle w:val="TableContents"/>
              <w:bidi w:val="0"/>
              <w:spacing w:before="0" w:after="283"/>
              <w:jc w:val="left"/>
              <w:rPr/>
            </w:pPr>
            <w:r>
              <w:rPr/>
              <w:t> </w:t>
            </w:r>
          </w:p>
        </w:tc>
        <w:tc>
          <w:tcPr>
            <w:tcW w:w="637"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3,182</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343" w:type="dxa"/>
        <w:jc w:val="left"/>
        <w:tblInd w:w="0" w:type="dxa"/>
        <w:tblLayout w:type="fixed"/>
        <w:tblCellMar>
          <w:top w:w="0" w:type="dxa"/>
          <w:left w:w="0" w:type="dxa"/>
          <w:bottom w:w="0" w:type="dxa"/>
          <w:right w:w="0" w:type="dxa"/>
        </w:tblCellMar>
      </w:tblPr>
      <w:tblGrid>
        <w:gridCol w:w="38"/>
        <w:gridCol w:w="20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6.</w:t>
            </w:r>
          </w:p>
        </w:tc>
        <w:tc>
          <w:tcPr>
            <w:tcW w:w="2105" w:type="dxa"/>
            <w:tcBorders/>
            <w:vAlign w:val="center"/>
          </w:tcPr>
          <w:p>
            <w:pPr>
              <w:pStyle w:val="TableContents"/>
              <w:bidi w:val="0"/>
              <w:spacing w:before="0" w:after="283"/>
              <w:jc w:val="left"/>
              <w:rPr>
                <w:b/>
              </w:rPr>
            </w:pPr>
            <w:r>
              <w:rPr>
                <w:b/>
              </w:rPr>
              <w:t>LOSS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loss per share during the periods are calculated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05"/>
        <w:gridCol w:w="60"/>
        <w:gridCol w:w="1205"/>
        <w:gridCol w:w="80"/>
        <w:gridCol w:w="60"/>
        <w:gridCol w:w="1205"/>
        <w:gridCol w:w="80"/>
        <w:gridCol w:w="1400"/>
        <w:gridCol w:w="110"/>
      </w:tblGrid>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 June 30,</w:t>
            </w:r>
          </w:p>
        </w:tc>
        <w:tc>
          <w:tcPr>
            <w:tcW w:w="11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center"/>
              <w:rPr>
                <w:i/>
                <w:sz w:val="20"/>
              </w:rPr>
            </w:pPr>
            <w:r>
              <w:rPr>
                <w:i/>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RMB</w:t>
            </w:r>
          </w:p>
        </w:tc>
        <w:tc>
          <w:tcPr>
            <w:tcW w:w="80" w:type="dxa"/>
            <w:tcBorders/>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center"/>
              <w:rPr>
                <w:b/>
                <w:i/>
              </w:rPr>
            </w:pPr>
            <w:r>
              <w:rPr>
                <w:b/>
                <w:i/>
              </w:rPr>
              <w:t>US$</w:t>
            </w:r>
          </w:p>
        </w:tc>
        <w:tc>
          <w:tcPr>
            <w:tcW w:w="11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b/>
                <w:sz w:val="20"/>
              </w:rPr>
            </w:pPr>
            <w:r>
              <w:rPr>
                <w:b/>
                <w:sz w:val="20"/>
              </w:rPr>
              <w:t>Numerator:</w:t>
            </w:r>
          </w:p>
        </w:tc>
        <w:tc>
          <w:tcPr>
            <w:tcW w:w="60" w:type="dxa"/>
            <w:tcBorders/>
            <w:shd w:fill="CCEEFF" w:val="cle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(771,391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(436,898</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(64,393</w:t>
            </w:r>
          </w:p>
        </w:tc>
        <w:tc>
          <w:tcPr>
            <w:tcW w:w="110" w:type="dxa"/>
            <w:tcBorders/>
            <w:shd w:fill="CCEEFF" w:val="clear"/>
            <w:vAlign w:val="center"/>
          </w:tcPr>
          <w:p>
            <w:pPr>
              <w:pStyle w:val="TableContents"/>
              <w:bidi w:val="0"/>
              <w:spacing w:before="0" w:after="283"/>
              <w:jc w:val="left"/>
              <w:rPr>
                <w:b/>
              </w:rPr>
            </w:pPr>
            <w:r>
              <w:rPr>
                <w:b/>
              </w:rPr>
              <w:t>)</w:t>
            </w:r>
          </w:p>
        </w:tc>
      </w:tr>
      <w:tr>
        <w:trPr/>
        <w:tc>
          <w:tcPr>
            <w:tcW w:w="6005"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Net loss attributable to ordinary shareholders – basic and diluted</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b/>
                <w:sz w:val="20"/>
              </w:rPr>
            </w:pPr>
            <w:r>
              <w:rPr>
                <w:b/>
                <w:sz w:val="20"/>
              </w:rPr>
              <w:t>Denominator:</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ordinary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3,869,381,978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4,558,929,811</w:t>
            </w:r>
          </w:p>
        </w:tc>
        <w:tc>
          <w:tcPr>
            <w:tcW w:w="80" w:type="dxa"/>
            <w:tcBorders/>
            <w:shd w:fill="CCEEFF" w:val="clear"/>
            <w:vAlign w:val="center"/>
          </w:tcPr>
          <w:p>
            <w:pPr>
              <w:pStyle w:val="TableContents"/>
              <w:bidi w:val="0"/>
              <w:spacing w:before="0" w:after="283"/>
              <w:jc w:val="left"/>
              <w:rPr/>
            </w:pPr>
            <w:r>
              <w:rPr/>
              <w:t> </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4,558,929,811</w:t>
            </w:r>
          </w:p>
        </w:tc>
        <w:tc>
          <w:tcPr>
            <w:tcW w:w="110"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sz w:val="20"/>
              </w:rPr>
            </w:pPr>
            <w:r>
              <w:rPr>
                <w:sz w:val="20"/>
              </w:rPr>
              <w:t>Basic and diluted loss per share</w:t>
            </w:r>
          </w:p>
        </w:tc>
        <w:tc>
          <w:tcPr>
            <w:tcW w:w="60" w:type="dxa"/>
            <w:tcBorders/>
            <w:shd w:fill="CCEEFF" w:val="cle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(0.20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(0.10</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(0.01</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the effects of unexercised options and unvested awarded shares were excluded from the computation of diluted loss per share for the periods as their effects would be anti-dilutive.</w:t>
      </w:r>
    </w:p>
    <w:p>
      <w:pPr>
        <w:pStyle w:val="TextBody"/>
        <w:bidi w:val="0"/>
        <w:spacing w:before="0" w:after="0"/>
        <w:ind w:left="0" w:right="0" w:hanging="0"/>
        <w:jc w:val="left"/>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38"/>
        <w:gridCol w:w="200"/>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7.</w:t>
            </w:r>
          </w:p>
        </w:tc>
        <w:tc>
          <w:tcPr>
            <w:tcW w:w="1415" w:type="dxa"/>
            <w:tcBorders/>
            <w:vAlign w:val="center"/>
          </w:tcPr>
          <w:p>
            <w:pPr>
              <w:pStyle w:val="TableContents"/>
              <w:bidi w:val="0"/>
              <w:spacing w:before="0" w:after="283"/>
              <w:jc w:val="left"/>
              <w:rPr>
                <w:b/>
              </w:rPr>
            </w:pPr>
            <w:r>
              <w:rPr>
                <w:b/>
              </w:rPr>
              <w:t>DIVIDENDS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 was declared by the Company during the six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200"/>
        <w:gridCol w:w="26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8.</w:t>
            </w:r>
          </w:p>
        </w:tc>
        <w:tc>
          <w:tcPr>
            <w:tcW w:w="2660" w:type="dxa"/>
            <w:tcBorders/>
            <w:vAlign w:val="center"/>
          </w:tcPr>
          <w:p>
            <w:pPr>
              <w:pStyle w:val="TableContents"/>
              <w:bidi w:val="0"/>
              <w:spacing w:before="0" w:after="283"/>
              <w:jc w:val="left"/>
              <w:rPr>
                <w:b/>
              </w:rPr>
            </w:pPr>
            <w:r>
              <w:rPr>
                <w:b/>
              </w:rPr>
              <w:t>ACCOUNTS PAYABLE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aging analysis of the accounts payable as at the end of the Reporting Period, based on the invoice date, is as follows:</w:t>
      </w:r>
    </w:p>
    <w:p>
      <w:pPr>
        <w:pStyle w:val="TextBody"/>
        <w:bidi w:val="0"/>
        <w:spacing w:before="0" w:after="0"/>
        <w:ind w:left="0" w:right="0" w:hanging="0"/>
        <w:jc w:val="left"/>
        <w:rPr>
          <w:caps w:val="false"/>
          <w:smallCaps w:val="false"/>
        </w:rPr>
      </w:pPr>
      <w:r>
        <w:rPr>
          <w:caps w:val="false"/>
          <w:smallCaps w:val="false"/>
        </w:rPr>
        <w:t> </w:t>
      </w:r>
    </w:p>
    <w:tbl>
      <w:tblPr>
        <w:tblW w:w="5882" w:type="dxa"/>
        <w:jc w:val="left"/>
        <w:tblInd w:w="0" w:type="dxa"/>
        <w:tblLayout w:type="fixed"/>
        <w:tblCellMar>
          <w:top w:w="0" w:type="dxa"/>
          <w:left w:w="0" w:type="dxa"/>
          <w:bottom w:w="0" w:type="dxa"/>
          <w:right w:w="0" w:type="dxa"/>
        </w:tblCellMar>
      </w:tblPr>
      <w:tblGrid>
        <w:gridCol w:w="2420"/>
        <w:gridCol w:w="60"/>
        <w:gridCol w:w="73"/>
        <w:gridCol w:w="1056"/>
        <w:gridCol w:w="60"/>
        <w:gridCol w:w="60"/>
        <w:gridCol w:w="63"/>
        <w:gridCol w:w="916"/>
        <w:gridCol w:w="60"/>
        <w:gridCol w:w="60"/>
        <w:gridCol w:w="77"/>
        <w:gridCol w:w="902"/>
        <w:gridCol w:w="75"/>
      </w:tblGrid>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27"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As at</w:t>
            </w:r>
          </w:p>
        </w:tc>
        <w:tc>
          <w:tcPr>
            <w:tcW w:w="7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2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i/>
                <w:sz w:val="20"/>
              </w:rPr>
            </w:pPr>
            <w:r>
              <w:rPr>
                <w:i/>
                <w:sz w:val="20"/>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RMB</w:t>
              <w:br/>
              <w:t>(unaudited)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 xml:space="preserve">US$ </w:t>
              <w:br/>
              <w:t>(unaudited)</w:t>
            </w:r>
          </w:p>
        </w:tc>
        <w:tc>
          <w:tcPr>
            <w:tcW w:w="75" w:type="dxa"/>
            <w:tcBorders/>
            <w:vAlign w:val="center"/>
          </w:tcPr>
          <w:p>
            <w:pPr>
              <w:pStyle w:val="TableContents"/>
              <w:bidi w:val="0"/>
              <w:spacing w:before="0" w:after="283"/>
              <w:jc w:val="center"/>
              <w:rPr/>
            </w:pPr>
            <w:r>
              <w:rPr/>
              <w:t> </w:t>
            </w:r>
          </w:p>
        </w:tc>
      </w:tr>
      <w:tr>
        <w:trPr/>
        <w:tc>
          <w:tcPr>
            <w:tcW w:w="2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3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689,950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1,086,639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160,151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4 months and 1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607,944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523,140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77,101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than 1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716,559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815,494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120,189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6"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2,014,453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2,425,273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02"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357,441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PUBLICATION OF THE INTERIM RESULTS ANNOUNCEMENT AND INTERIM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interim results announcement is published on the websites of the Hong Kong Stock Exchange (www.hkexnews.hk) and the Company (ir.ksyun.com). The interim report for the six months ended June 30, 2026 will be made available for review on the same websites in due course and be dispatched to the Company’s shareholders, if necessary.</w:t>
      </w:r>
    </w:p>
    <w:p>
      <w:pPr>
        <w:pStyle w:val="TextBody"/>
        <w:bidi w:val="0"/>
        <w:spacing w:before="0" w:after="0"/>
        <w:ind w:left="0" w:right="0" w:hanging="0"/>
        <w:jc w:val="left"/>
        <w:rPr>
          <w:caps w:val="false"/>
          <w:smallCaps w:val="false"/>
        </w:rPr>
      </w:pPr>
      <w:r>
        <w:rPr>
          <w:caps w:val="false"/>
          <w:smallCaps w:val="false"/>
        </w:rPr>
        <w:t> </w:t>
      </w:r>
    </w:p>
    <w:tbl>
      <w:tblPr>
        <w:tblW w:w="3620" w:type="dxa"/>
        <w:jc w:val="left"/>
        <w:tblInd w:w="0" w:type="dxa"/>
        <w:tblLayout w:type="fixed"/>
        <w:tblCellMar>
          <w:top w:w="0" w:type="dxa"/>
          <w:left w:w="0" w:type="dxa"/>
          <w:bottom w:w="0" w:type="dxa"/>
          <w:right w:w="0" w:type="dxa"/>
        </w:tblCellMar>
      </w:tblPr>
      <w:tblGrid>
        <w:gridCol w:w="75"/>
        <w:gridCol w:w="3545"/>
      </w:tblGrid>
      <w:tr>
        <w:trPr/>
        <w:tc>
          <w:tcPr>
            <w:tcW w:w="75" w:type="dxa"/>
            <w:tcBorders/>
            <w:vAlign w:val="center"/>
          </w:tcPr>
          <w:p>
            <w:pPr>
              <w:pStyle w:val="TableContents"/>
              <w:bidi w:val="0"/>
              <w:spacing w:before="0" w:after="283"/>
              <w:jc w:val="center"/>
              <w:rPr/>
            </w:pPr>
            <w:r>
              <w:rPr/>
              <w:t> </w:t>
            </w:r>
          </w:p>
        </w:tc>
        <w:tc>
          <w:tcPr>
            <w:tcW w:w="35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r>
      <w:tr>
        <w:trPr/>
        <w:tc>
          <w:tcPr>
            <w:tcW w:w="75" w:type="dxa"/>
            <w:tcBorders/>
            <w:vAlign w:val="center"/>
          </w:tcPr>
          <w:p>
            <w:pPr>
              <w:pStyle w:val="TableContents"/>
              <w:bidi w:val="0"/>
              <w:spacing w:before="0" w:after="283"/>
              <w:jc w:val="center"/>
              <w:rPr/>
            </w:pPr>
            <w:r>
              <w:rPr/>
              <w:t> </w:t>
            </w:r>
          </w:p>
        </w:tc>
        <w:tc>
          <w:tcPr>
            <w:tcW w:w="35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Kingsoft Cloud Holdings Limited</w:t>
            </w:r>
          </w:p>
        </w:tc>
      </w:tr>
      <w:tr>
        <w:trPr/>
        <w:tc>
          <w:tcPr>
            <w:tcW w:w="75" w:type="dxa"/>
            <w:tcBorders/>
            <w:vAlign w:val="center"/>
          </w:tcPr>
          <w:p>
            <w:pPr>
              <w:pStyle w:val="TableContents"/>
              <w:bidi w:val="0"/>
              <w:spacing w:before="0" w:after="283"/>
              <w:jc w:val="center"/>
              <w:rPr/>
            </w:pPr>
            <w:r>
              <w:rPr/>
              <w:t> </w:t>
            </w:r>
          </w:p>
        </w:tc>
        <w:tc>
          <w:tcPr>
            <w:tcW w:w="35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Mr. Zou Tao</w:t>
            </w:r>
          </w:p>
        </w:tc>
      </w:tr>
      <w:tr>
        <w:trPr/>
        <w:tc>
          <w:tcPr>
            <w:tcW w:w="75" w:type="dxa"/>
            <w:tcBorders/>
            <w:vAlign w:val="center"/>
          </w:tcPr>
          <w:p>
            <w:pPr>
              <w:pStyle w:val="TableContents"/>
              <w:bidi w:val="0"/>
              <w:spacing w:before="0" w:after="283"/>
              <w:jc w:val="center"/>
              <w:rPr/>
            </w:pPr>
            <w:r>
              <w:rPr/>
              <w:t> </w:t>
            </w:r>
          </w:p>
        </w:tc>
        <w:tc>
          <w:tcPr>
            <w:tcW w:w="354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of the Board, Executive Director</w:t>
            </w:r>
          </w:p>
        </w:tc>
      </w:tr>
      <w:tr>
        <w:trPr/>
        <w:tc>
          <w:tcPr>
            <w:tcW w:w="75" w:type="dxa"/>
            <w:tcBorders/>
            <w:vAlign w:val="center"/>
          </w:tcPr>
          <w:p>
            <w:pPr>
              <w:pStyle w:val="TableContents"/>
              <w:bidi w:val="0"/>
              <w:spacing w:before="0" w:after="283"/>
              <w:jc w:val="center"/>
              <w:rPr/>
            </w:pPr>
            <w:r>
              <w:rPr/>
              <w:t> </w:t>
            </w:r>
          </w:p>
        </w:tc>
        <w:tc>
          <w:tcPr>
            <w:tcW w:w="354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and acting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August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the date of this announcement, the Board comprises Mr. Zou Tao as Chairman and executive director, Mr. Qu Heng and Mr. Zhang Duo as non-executive directors, and Mr. Yu Mingto, Mr. Wang Hang and Ms. Qu Jingyuan as independent non-executive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7622</Words>
  <Characters>43442</Characters>
  <CharactersWithSpaces>52867</CharactersWithSpaces>
  <Paragraphs>4246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