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ISSUER</w:t>
      </w:r>
    </w:p>
    <w:p>
      <w:pPr>
        <w:spacing w:after="0" w:line="4" w:lineRule="exact"/>
        <w:rPr>
          <w:sz w:val="24"/>
          <w:szCs w:val="24"/>
          <w:color w:val="auto"/>
        </w:rPr>
      </w:pPr>
    </w:p>
    <w:p>
      <w:pPr>
        <w:jc w:val="center"/>
        <w:ind w:right="-100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March 2022</w:t>
      </w:r>
    </w:p>
    <w:p>
      <w:pPr>
        <w:spacing w:after="0" w:line="225"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Commission file number: 001-39278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000"/>
        <w:spacing w:after="0"/>
        <w:rPr>
          <w:sz w:val="20"/>
          <w:szCs w:val="20"/>
          <w:color w:val="auto"/>
        </w:rPr>
      </w:pPr>
      <w:r>
        <w:rPr>
          <w:rFonts w:ascii="Arial" w:cs="Arial" w:eastAsia="Arial" w:hAnsi="Arial"/>
          <w:sz w:val="43"/>
          <w:szCs w:val="43"/>
          <w:b w:val="1"/>
          <w:bCs w:val="1"/>
          <w:color w:val="auto"/>
        </w:rPr>
        <w:t>Kingsoft Cloud Holdings Limited</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Building E, Xiaomi Science and Technology Park, No. 33 Xierqi Middle Road,</w:t>
      </w:r>
    </w:p>
    <w:p>
      <w:pPr>
        <w:spacing w:after="0" w:line="27"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Haidian District</w:t>
      </w:r>
    </w:p>
    <w:p>
      <w:pPr>
        <w:spacing w:after="0" w:line="9"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Beijing, 100085, the People’s Republic of China</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192" w:lineRule="exact"/>
        <w:rPr>
          <w:sz w:val="24"/>
          <w:szCs w:val="24"/>
          <w:color w:val="auto"/>
        </w:rPr>
      </w:pPr>
    </w:p>
    <w:p>
      <w:pPr>
        <w:ind w:left="4060"/>
        <w:spacing w:after="0" w:line="207" w:lineRule="exact"/>
        <w:tabs>
          <w:tab w:leader="none" w:pos="4600" w:val="left"/>
          <w:tab w:leader="none" w:pos="5780" w:val="left"/>
          <w:tab w:leader="none" w:pos="6340" w:val="left"/>
        </w:tabs>
        <w:rPr>
          <w:sz w:val="20"/>
          <w:szCs w:val="20"/>
          <w:color w:val="auto"/>
        </w:rPr>
      </w:pPr>
      <w:r>
        <w:rPr>
          <w:rFonts w:ascii="Arial" w:cs="Arial" w:eastAsia="Arial" w:hAnsi="Arial"/>
          <w:sz w:val="18"/>
          <w:szCs w:val="18"/>
          <w:color w:val="auto"/>
        </w:rPr>
        <w:t>Form</w:t>
        <w:tab/>
        <w:t xml:space="preserve">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w:t>
      </w:r>
      <w:r>
        <w:rPr>
          <w:sz w:val="20"/>
          <w:szCs w:val="20"/>
          <w:color w:val="auto"/>
        </w:rPr>
        <w:tab/>
      </w:r>
      <w:r>
        <w:rPr>
          <w:rFonts w:ascii="Arial" w:cs="Arial" w:eastAsia="Arial" w:hAnsi="Arial"/>
          <w:sz w:val="17"/>
          <w:szCs w:val="17"/>
          <w:color w:val="auto"/>
        </w:rPr>
        <w:t xml:space="preserve">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Kingsoft Cloud Holdings Limited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March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Haijian 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Haijian He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70" w:right="759" w:bottom="1440" w:gutter="0" w:footer="0" w:header="0"/>
        </w:sectPr>
      </w:pPr>
    </w:p>
    <w:bookmarkStart w:id="2" w:name="page3"/>
    <w:bookmarkEnd w:id="2"/>
    <w:p>
      <w:pPr>
        <w:ind w:left="48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ectPr>
          <w:pgSz w:w="11900" w:h="16838" w:orient="portrait"/>
          <w:cols w:equalWidth="0" w:num="1">
            <w:col w:w="10019"/>
          </w:cols>
          <w:pgMar w:left="440" w:top="270" w:right="1440"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 No.</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126" w:lineRule="exact"/>
        <w:rPr>
          <w:sz w:val="20"/>
          <w:szCs w:val="20"/>
          <w:color w:val="auto"/>
        </w:rPr>
      </w:pPr>
    </w:p>
    <w:p>
      <w:pPr>
        <w:sectPr>
          <w:pgSz w:w="11900" w:h="16838" w:orient="portrait"/>
          <w:cols w:equalWidth="0" w:num="2">
            <w:col w:w="740" w:space="720"/>
            <w:col w:w="8559"/>
          </w:cols>
          <w:pgMar w:left="440" w:top="270" w:right="1440" w:bottom="1440" w:gutter="0" w:footer="0" w:header="0"/>
          <w:type w:val="continuous"/>
        </w:sectPr>
      </w:pPr>
    </w:p>
    <w:p>
      <w:pPr>
        <w:spacing w:after="0"/>
        <w:rPr>
          <w:sz w:val="20"/>
          <w:szCs w:val="20"/>
          <w:color w:val="auto"/>
        </w:rPr>
      </w:pPr>
      <w:r>
        <w:rPr>
          <w:rFonts w:ascii="Arial" w:cs="Arial" w:eastAsia="Arial" w:hAnsi="Arial"/>
          <w:sz w:val="16"/>
          <w:szCs w:val="16"/>
          <w:color w:val="auto"/>
        </w:rPr>
        <w:t>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Press release entitled “Kingsoft Cloud Announces Plan to Explore Hong Kong Listing”</w:t>
      </w:r>
    </w:p>
    <w:p>
      <w:pPr>
        <w:sectPr>
          <w:pgSz w:w="11900" w:h="16838" w:orient="portrait"/>
          <w:cols w:equalWidth="0" w:num="2">
            <w:col w:w="740" w:space="720"/>
            <w:col w:w="8559"/>
          </w:cols>
          <w:pgMar w:left="440" w:top="270" w:right="1440"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Kingsoft Cloud Announces Plan to Explore Hong Kong Listing</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Kingsoft Cloud Holdings Limited (NASDAQ: KC) (“Kingsoft Cloud” or the “Company”), a leading independent cloud service provider in China, today announced that in order to provide our shareholders with greater liquidity and protection amid an evolving market and regulatory environment, we are exploring a dual listing of our ordinary shares on the Main Board of the Hong Kong Stock Exchange, subject to regulatory approvals and market conditions. In the meantime, we will keep focused on driving our sustainable development as a U.S. listed company through innovation and technology to maximize shareholder value. Despite recent fluctuations in our stock price, our business operations remain normal and uninterrupted.</w:t>
      </w:r>
    </w:p>
    <w:p>
      <w:pPr>
        <w:spacing w:after="0" w:line="16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This press release does not, and is not intended to, constitute an offer to sell or a solicitation of an offer to purchase any of our securities in the United States, Hong Kong or elsewhere. It does not, and is not intended to, constitute an offer, solicitation or sale of any securities in any jurisdiction in which such an offer, solicitation or sale would be unlawful. Any offers, solicitations or offers to buy, or any sales of securities will be made in accordance with the requirements of the Securities Act of 1933, as amended as well as other applicable laws and regulations.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2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press release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Kingsoft Cloud’s strategic and operational plans contain forward-looking statements. Kingsoft Cloud may also make written or oral forward-looking statements in its periodic reports to the U.S. Securities and Exchange Commission (“SEC”), in its annual report to shareholders, in press releases and other written materials and in oral statements made by its officers, directors or employees to other parties. Statements that are not historical facts, including but not limited to statements about Kingsoft Cloud’s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Kingsoft Cloud’s goals and strategies; Kingsoft Cloud’s future business development, results of operations and financial condition; relevant government policies and regulations relating to Kingsoft Cloud’s business and industry; the expected growth of the cloud service market in China; the expectation regarding the rate at which to gain customers, especially Premium Customers; Kingsoft Cloud’s ability to monetize the customer base; fluctuations in general economic and business conditions in China; the impact of the COVID-19 to Kingsoft Cloud’s business operations and the economy in China and elsewhere generally; China’s political or social conditions and assumptions underlying or related to any of the foregoing. Further information regarding these and other risks is included in Kingsoft Cloud’s filings with the SEC. All information provided in this press release and in the attachments is as of the date of this press release, and Kingsoft Cloud does not undertake any obligation to update any forward-looking statement, except as required under applicable law.</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Kingsoft Cloud Holdings Limited</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Kingsoft Cloud Holdings Limited (NASDAQ: KC) is a leading independent cloud service provider in China. Kingsoft Cloud has built a comprehensive and reliable cloud platform consisting of extensive cloud infrastructure, cutting-edge cloud products and well-architected industry-specific solutions across public cloud and enterprise cloud.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http://ir.ksyun.com.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investor and media inquiries, please contact:</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Kingsoft Cloud Holdings Limited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Nicole Shan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 (10) 6292-7777 Ext. 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ksc-ir@kingsoft.com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-19050</wp:posOffset>
            </wp:positionV>
            <wp:extent cx="9937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377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Christensen 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Eric Yuan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+86-10-5900-1548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Eyuan@christensenir.com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Ms. Linda Bergkamp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+1-480-614-3004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lbergkamp@christensenir.com</w:t>
      </w:r>
    </w:p>
    <w:p>
      <w:pPr>
        <w:spacing w:after="0" w:line="143"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sectPr>
      <w:pgSz w:w="11900" w:h="16838" w:orient="portrait"/>
      <w:cols w:equalWidth="0" w:num="1">
        <w:col w:w="10019"/>
      </w:cols>
      <w:pgMar w:left="4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2022-03-15T05:31:31Z</dcterms:created>
  <dcterms:modified xsi:type="dcterms:W3CDTF">2022-03-15T05:31:31Z</dcterms:modified>
</cp:coreProperties>
</file>