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186690</wp:posOffset>
            </wp:positionH>
            <wp:positionV relativeFrom="page">
              <wp:posOffset>230505</wp:posOffset>
            </wp:positionV>
            <wp:extent cx="7174865"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page">
              <wp:posOffset>186690</wp:posOffset>
            </wp:positionH>
            <wp:positionV relativeFrom="page">
              <wp:posOffset>254000</wp:posOffset>
            </wp:positionV>
            <wp:extent cx="71748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715"/>
                    </a:xfrm>
                    <a:prstGeom prst="rect">
                      <a:avLst/>
                    </a:prstGeom>
                    <a:noFill/>
                  </pic:spPr>
                </pic:pic>
              </a:graphicData>
            </a:graphic>
          </wp:anchor>
        </w:drawing>
        <w:t>UNITED STATES</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100330</wp:posOffset>
            </wp:positionV>
            <wp:extent cx="179832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8320" cy="5715"/>
                    </a:xfrm>
                    <a:prstGeom prst="rect">
                      <a:avLst/>
                    </a:prstGeom>
                    <a:noFill/>
                  </pic:spPr>
                </pic:pic>
              </a:graphicData>
            </a:graphic>
          </wp:anchor>
        </w:drawing>
      </w:r>
    </w:p>
    <w:p>
      <w:pPr>
        <w:spacing w:after="0" w:line="287"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111760</wp:posOffset>
            </wp:positionV>
            <wp:extent cx="179832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8320" cy="5715"/>
                    </a:xfrm>
                    <a:prstGeom prst="rect">
                      <a:avLst/>
                    </a:prstGeom>
                    <a:noFill/>
                  </pic:spPr>
                </pic:pic>
              </a:graphicData>
            </a:graphic>
          </wp:anchor>
        </w:drawing>
      </w:r>
    </w:p>
    <w:p>
      <w:pPr>
        <w:spacing w:after="0" w:line="3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REPORT OF FOREIGN ISSUER</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PURSUANT TO RULE 13a-16 OR 15d-16 OF</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For the month of June 2026</w:t>
      </w:r>
    </w:p>
    <w:p>
      <w:pPr>
        <w:spacing w:after="0" w:line="15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b w:val="1"/>
          <w:bCs w:val="1"/>
          <w:color w:val="auto"/>
        </w:rPr>
        <w:t>Commission file number: 001-39278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110490</wp:posOffset>
            </wp:positionV>
            <wp:extent cx="179832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8320" cy="5715"/>
                    </a:xfrm>
                    <a:prstGeom prst="rect">
                      <a:avLst/>
                    </a:prstGeom>
                    <a:noFill/>
                  </pic:spPr>
                </pic:pic>
              </a:graphicData>
            </a:graphic>
          </wp:anchor>
        </w:drawing>
      </w:r>
    </w:p>
    <w:p>
      <w:pPr>
        <w:spacing w:after="0" w:line="2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Kingsoft Cloud Holdings Limited</w:t>
      </w:r>
    </w:p>
    <w:p>
      <w:pPr>
        <w:spacing w:after="0" w:line="3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100330</wp:posOffset>
            </wp:positionV>
            <wp:extent cx="179832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8320" cy="5715"/>
                    </a:xfrm>
                    <a:prstGeom prst="rect">
                      <a:avLst/>
                    </a:prstGeom>
                    <a:noFill/>
                  </pic:spPr>
                </pic:pic>
              </a:graphicData>
            </a:graphic>
          </wp:anchor>
        </w:drawing>
      </w:r>
    </w:p>
    <w:p>
      <w:pPr>
        <w:spacing w:after="0" w:line="29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Building D, Xiaomi Science and Technology Park, No. 33 Xierqi Middle Road,</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Haidian District</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Beijing, 100085, the People’s Republic of China</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101600</wp:posOffset>
            </wp:positionV>
            <wp:extent cx="179832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8320" cy="5715"/>
                    </a:xfrm>
                    <a:prstGeom prst="rect">
                      <a:avLst/>
                    </a:prstGeom>
                    <a:noFill/>
                  </pic:spPr>
                </pic:pic>
              </a:graphicData>
            </a:graphic>
          </wp:anchor>
        </w:drawing>
      </w: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Form 20-F or Form 40-F.</w:t>
      </w:r>
    </w:p>
    <w:p>
      <w:pPr>
        <w:spacing w:after="0" w:line="133" w:lineRule="exact"/>
        <w:rPr>
          <w:sz w:val="24"/>
          <w:szCs w:val="24"/>
          <w:color w:val="auto"/>
        </w:rPr>
      </w:pPr>
    </w:p>
    <w:p>
      <w:pPr>
        <w:ind w:left="4820"/>
        <w:spacing w:after="0" w:line="138" w:lineRule="exact"/>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7486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143510</wp:posOffset>
            </wp:positionV>
            <wp:extent cx="7174865" cy="12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438785</wp:posOffset>
            </wp:positionV>
            <wp:extent cx="717486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159"/>
          </w:cols>
          <w:pgMar w:left="300" w:top="539" w:right="1440" w:bottom="1440" w:gutter="0" w:footer="0" w:header="0"/>
        </w:sectPr>
      </w:pPr>
    </w:p>
    <w:bookmarkStart w:id="1" w:name="page2"/>
    <w:bookmarkEnd w:id="1"/>
    <w:p>
      <w:pPr>
        <w:jc w:val="center"/>
        <w:ind w:right="-299"/>
        <w:spacing w:after="0"/>
        <w:rPr>
          <w:sz w:val="20"/>
          <w:szCs w:val="20"/>
          <w:color w:val="auto"/>
        </w:rPr>
      </w:pPr>
      <w:r>
        <w:rPr>
          <w:rFonts w:ascii="Times New Roman" w:cs="Times New Roman" w:eastAsia="Times New Roman" w:hAnsi="Times New Roman"/>
          <w:sz w:val="12"/>
          <w:szCs w:val="12"/>
          <w:b w:val="1"/>
          <w:bCs w:val="1"/>
          <w:color w:val="auto"/>
        </w:rPr>
        <w:t>EXPLANATORY NOTE</w:t>
      </w:r>
    </w:p>
    <w:p>
      <w:pPr>
        <w:spacing w:after="0" w:line="16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2"/>
          <w:szCs w:val="12"/>
          <w:color w:val="auto"/>
        </w:rPr>
        <w:t>We submitted a monthly return form dated June 4, 2026 to The Stock Exchange of Hong Kong Limited in relation to the movements in our authorized share capital and issued shares in May 2026. For details, please refer to Exhibit 99.1 to this current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262890</wp:posOffset>
            </wp:positionV>
            <wp:extent cx="717486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000"/>
          </w:cols>
          <w:pgMar w:left="300" w:top="663" w:right="5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EXHIBIT INDEX</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440" w:type="dxa"/>
            <w:vAlign w:val="bottom"/>
            <w:gridSpan w:val="3"/>
          </w:tcPr>
          <w:p>
            <w:pPr>
              <w:ind w:left="26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70"/>
        </w:trPr>
        <w:tc>
          <w:tcPr>
            <w:tcW w:w="86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10440" w:type="dxa"/>
            <w:vAlign w:val="bottom"/>
            <w:gridSpan w:val="3"/>
          </w:tcPr>
          <w:p>
            <w:pPr>
              <w:ind w:left="260"/>
              <w:spacing w:after="0"/>
              <w:rPr>
                <w:sz w:val="20"/>
                <w:szCs w:val="20"/>
                <w:color w:val="auto"/>
              </w:rPr>
            </w:pPr>
            <w:r>
              <w:rPr>
                <w:rFonts w:ascii="Times New Roman" w:cs="Times New Roman" w:eastAsia="Times New Roman" w:hAnsi="Times New Roman"/>
                <w:sz w:val="12"/>
                <w:szCs w:val="12"/>
                <w:color w:val="0000EE"/>
              </w:rPr>
              <w:t>Monthly Return for Equity Issuer on Movements in Securities</w:t>
            </w:r>
          </w:p>
        </w:tc>
      </w:tr>
      <w:tr>
        <w:trPr>
          <w:trHeight w:val="472"/>
        </w:trPr>
        <w:tc>
          <w:tcPr>
            <w:tcW w:w="22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80" w:type="dxa"/>
            <w:vAlign w:val="bottom"/>
            <w:tcBorders>
              <w:top w:val="single" w:sz="8" w:color="0000EE"/>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3" w:right="2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80" w:type="dxa"/>
            <w:vAlign w:val="bottom"/>
          </w:tcPr>
          <w:p>
            <w:pPr>
              <w:spacing w:after="0"/>
              <w:rPr>
                <w:sz w:val="13"/>
                <w:szCs w:val="13"/>
                <w:color w:val="auto"/>
              </w:rPr>
            </w:pPr>
          </w:p>
        </w:tc>
        <w:tc>
          <w:tcPr>
            <w:tcW w:w="8020" w:type="dxa"/>
            <w:vAlign w:val="bottom"/>
            <w:gridSpan w:val="3"/>
          </w:tcPr>
          <w:p>
            <w:pPr>
              <w:ind w:left="2360"/>
              <w:spacing w:after="0"/>
              <w:rPr>
                <w:sz w:val="20"/>
                <w:szCs w:val="20"/>
                <w:color w:val="auto"/>
              </w:rPr>
            </w:pPr>
            <w:r>
              <w:rPr>
                <w:rFonts w:ascii="Times New Roman" w:cs="Times New Roman" w:eastAsia="Times New Roman" w:hAnsi="Times New Roman"/>
                <w:sz w:val="12"/>
                <w:szCs w:val="12"/>
                <w:color w:val="auto"/>
              </w:rPr>
              <w:t>Kingsoft Cloud Holdings Limited</w:t>
            </w:r>
          </w:p>
        </w:tc>
      </w:tr>
      <w:tr>
        <w:trPr>
          <w:trHeight w:val="298"/>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Date: June 4, 2026</w:t>
            </w:r>
          </w:p>
        </w:tc>
        <w:tc>
          <w:tcPr>
            <w:tcW w:w="3200" w:type="dxa"/>
            <w:vAlign w:val="bottom"/>
            <w:gridSpan w:val="2"/>
          </w:tcPr>
          <w:p>
            <w:pPr>
              <w:ind w:left="2360"/>
              <w:spacing w:after="0"/>
              <w:rPr>
                <w:sz w:val="20"/>
                <w:szCs w:val="20"/>
                <w:color w:val="auto"/>
              </w:rPr>
            </w:pPr>
            <w:r>
              <w:rPr>
                <w:rFonts w:ascii="Times New Roman" w:cs="Times New Roman" w:eastAsia="Times New Roman" w:hAnsi="Times New Roman"/>
                <w:sz w:val="12"/>
                <w:szCs w:val="12"/>
                <w:color w:val="auto"/>
              </w:rPr>
              <w:t>By:   /s/ Yi Li</w:t>
            </w:r>
          </w:p>
        </w:tc>
        <w:tc>
          <w:tcPr>
            <w:tcW w:w="4820" w:type="dxa"/>
            <w:vAlign w:val="bottom"/>
          </w:tcPr>
          <w:p>
            <w:pPr>
              <w:spacing w:after="0"/>
              <w:rPr>
                <w:sz w:val="24"/>
                <w:szCs w:val="24"/>
                <w:color w:val="auto"/>
              </w:rPr>
            </w:pPr>
          </w:p>
        </w:tc>
      </w:tr>
      <w:tr>
        <w:trPr>
          <w:trHeight w:val="126"/>
        </w:trPr>
        <w:tc>
          <w:tcPr>
            <w:tcW w:w="32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480" w:type="dxa"/>
            <w:vAlign w:val="bottom"/>
            <w:tcBorders>
              <w:top w:val="single" w:sz="8" w:color="auto"/>
            </w:tcBorders>
          </w:tcPr>
          <w:p>
            <w:pPr>
              <w:spacing w:after="0" w:line="126" w:lineRule="exact"/>
              <w:rPr>
                <w:sz w:val="20"/>
                <w:szCs w:val="20"/>
                <w:color w:val="auto"/>
              </w:rPr>
            </w:pPr>
            <w:r>
              <w:rPr>
                <w:rFonts w:ascii="Times New Roman" w:cs="Times New Roman" w:eastAsia="Times New Roman" w:hAnsi="Times New Roman"/>
                <w:sz w:val="12"/>
                <w:szCs w:val="12"/>
                <w:color w:val="auto"/>
              </w:rPr>
              <w:t>Name:</w:t>
            </w:r>
          </w:p>
        </w:tc>
        <w:tc>
          <w:tcPr>
            <w:tcW w:w="4820" w:type="dxa"/>
            <w:vAlign w:val="bottom"/>
            <w:tcBorders>
              <w:top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Yi Li</w:t>
            </w:r>
          </w:p>
        </w:tc>
      </w:tr>
      <w:tr>
        <w:trPr>
          <w:trHeight w:val="160"/>
        </w:trPr>
        <w:tc>
          <w:tcPr>
            <w:tcW w:w="32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447"/>
        </w:trPr>
        <w:tc>
          <w:tcPr>
            <w:tcW w:w="32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82" w:right="299" w:bottom="1440" w:gutter="0" w:footer="0" w:header="0"/>
        </w:sectPr>
      </w:pPr>
    </w:p>
    <w:bookmarkStart w:id="4" w:name="page5"/>
    <w:bookmarkEnd w:id="4"/>
    <w:p>
      <w:pPr>
        <w:ind w:left="952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110490</wp:posOffset>
            </wp:positionV>
            <wp:extent cx="6885940" cy="511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2026-06-04T08:19:16Z</dcterms:created>
  <dcterms:modified xsi:type="dcterms:W3CDTF">2026-06-04T08:19:16Z</dcterms:modified>
</cp:coreProperties>
</file>