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001-39278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Kingsoft Cloud Holdings Limited</w:t>
      </w:r>
    </w:p>
    <w:p>
      <w:pPr>
        <w:spacing w:after="0" w:line="4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Building D, Xiaomi Science and Technology Park, No. 33 Xierqi Middle Road,</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Haidian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Beijing, 100085, the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4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18"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 Kingsoft Cloud Announces Unaudited First Quarter 2026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Kingsoft Cloud Holdings Limited</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Yi Li</w:t>
            </w:r>
          </w:p>
        </w:tc>
      </w:tr>
      <w:tr>
        <w:trPr>
          <w:trHeight w:val="191"/>
        </w:trPr>
        <w:tc>
          <w:tcPr>
            <w:tcW w:w="3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Yi Li</w:t>
            </w:r>
          </w:p>
        </w:tc>
      </w:tr>
      <w:tr>
        <w:trPr>
          <w:trHeight w:val="234"/>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48"/>
        </w:trPr>
        <w:tc>
          <w:tcPr>
            <w:tcW w:w="35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Kingsoft Cloud Announces Unaudited First Quarter 2026 Financial Results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Kingsoft Cloud Holdings Limited (“Kingsoft Cloud” or the “Company”) (NASDAQ: KC and HKEX: 3896), a leading cloud service provider in China, today announced its unaudited financial results for the first quarter ended March 31, 2026.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Mr. Tao Zou, Chairman of the Board and Chief Executive Officer of Kingsoft Cloud, commented: “We continued to advance our 'High Quality and Sustainable Development Strategy'. The gross billing of AI business grew 90% year-over-year, accounting for more than half of the revenue from public cloud services for the first time. We are excited about the vast opportunities in this new era, from computing power to vertical solutions, as we continued to invest in infrastructure, enhance our capabilities, and strengthen customer base both within and outside of the ecosystem.”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Ms. Yi Li, Chief Financial Officer of Kingsoft Cloud, added, “We delivered a solid quarter, with our total revenue reaching RMB2,703.7 million, an increase of 37.2% year-over-year. Our adjusted gross profit was RMB351.4 million, increased by 7.2% year-over-year, despite overall supply chain challenges. Our adjusted EBITDA margin was 27.6%, increased by 11.4 percentage points year-over-year, in line with our AI revenue growth. In light of strong demand across diverse sectors, we remain steadfast in investing in our infrastructure, as our capital expenditures and leased assets obtained in combination amounted to RMB3 billion in Q1, and we expect to continue to invest to facilitate further business expansion throughout the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31F20"/>
        </w:rPr>
        <w:t>First Quarter 2026 Financial Results</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b w:val="1"/>
          <w:bCs w:val="1"/>
          <w:color w:val="231F20"/>
        </w:rPr>
        <w:t xml:space="preserve">Total Revenues </w:t>
      </w:r>
      <w:r>
        <w:rPr>
          <w:rFonts w:ascii="Times New Roman" w:cs="Times New Roman" w:eastAsia="Times New Roman" w:hAnsi="Times New Roman"/>
          <w:sz w:val="18"/>
          <w:szCs w:val="18"/>
          <w:color w:val="231F20"/>
        </w:rPr>
        <w:t>reached RMB2,703.7 million (US$392.0</w:t>
      </w:r>
      <w:r>
        <w:rPr>
          <w:rFonts w:ascii="Times New Roman" w:cs="Times New Roman" w:eastAsia="Times New Roman" w:hAnsi="Times New Roman"/>
          <w:sz w:val="29"/>
          <w:szCs w:val="29"/>
          <w:color w:val="231F20"/>
          <w:vertAlign w:val="superscript"/>
        </w:rPr>
        <w:t>1</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million), increased by 37.2% year-over-year from RMB1,970.0 million in the same quarter of</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2025, and decreased by 2.1% quarter-over-quarter from RMB2,761.4 million in the fourth quarter of 2025. The year-over-year increase was mainly due to the revenue growth from Xiaomi and Kingsoft Ecosystem and AI related customers and our further penetration into enterprise cloud customers. The quarter-over-quarter decrease was mainly due to the seasonality impact for enterprise cloud.</w:t>
      </w:r>
    </w:p>
    <w:p>
      <w:pPr>
        <w:spacing w:after="0" w:line="19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231F20"/>
        </w:rPr>
        <w:t>Revenues from public cloud services were RMB1,996.3 million (US$289.4 million), increased by 47.5% year-over-year from RMB1,353.5 million in the same quarter of 2025 and increased by 4.9% quarter-over-quarter from RMB1,902.4 million last quarter. The increase was mainly due to higher overall revenue driven by the growth of AI demands.</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231F20"/>
        </w:rPr>
        <w:t>Revenues from enterprise cloud services were RMB707.4 million (US$102.6 million), representing a year-over-year increase of 14.7% from RMB616.5 million in the same quarter of 2025 and a quarter-over-quarter decrease of 17.6% from RMB859.0 million last quarter. The sequential decrease was mainly due to the Chinese New Year impact and differentiated delivery schedules for various projects.</w:t>
      </w:r>
    </w:p>
    <w:p>
      <w:pPr>
        <w:spacing w:after="0" w:line="216" w:lineRule="exact"/>
        <w:rPr>
          <w:sz w:val="20"/>
          <w:szCs w:val="20"/>
          <w:color w:val="auto"/>
        </w:rPr>
      </w:pPr>
    </w:p>
    <w:p>
      <w:pPr>
        <w:jc w:val="both"/>
        <w:ind w:firstLine="8"/>
        <w:spacing w:after="0" w:line="210" w:lineRule="auto"/>
        <w:tabs>
          <w:tab w:leader="none" w:pos="119"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announcement contains translations of certain Renminbi (RMB) amounts into U.S. dollars (US$) at a specified rate solely for the convenience of the reader. Unless otherwise noted, the translation of RMB into US$ has been made at RMB6.8980 to US$1.00, the noon buying rate in effect on March 31, 2026 as certified for customs purposes by the Federal Reserve Bank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spacing w:after="0" w:line="255" w:lineRule="auto"/>
        <w:rPr>
          <w:sz w:val="20"/>
          <w:szCs w:val="20"/>
          <w:color w:val="auto"/>
        </w:rPr>
      </w:pPr>
      <w:r>
        <w:rPr>
          <w:rFonts w:ascii="Times New Roman" w:cs="Times New Roman" w:eastAsia="Times New Roman" w:hAnsi="Times New Roman"/>
          <w:sz w:val="18"/>
          <w:szCs w:val="18"/>
          <w:b w:val="1"/>
          <w:bCs w:val="1"/>
          <w:color w:val="231F20"/>
        </w:rPr>
        <w:t xml:space="preserve">Cost of revenues </w:t>
      </w:r>
      <w:r>
        <w:rPr>
          <w:rFonts w:ascii="Times New Roman" w:cs="Times New Roman" w:eastAsia="Times New Roman" w:hAnsi="Times New Roman"/>
          <w:sz w:val="18"/>
          <w:szCs w:val="18"/>
          <w:color w:val="231F20"/>
        </w:rPr>
        <w:t>was RMB2,358.0 million (US$341.8 million), representing an increase of 42.8% from RMB1,651.7 million in the same quarter of 2025,</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which was mainly due to our investment into AI computing resources. IDC costs increased by 26.1% year-over-year from RMB722.8 million to RMB911.1 million (US$132.1 million) this quarter, largely in line with our revenue expansion. Depreciation and amortization costs increased from RMB378.5 million in the same quarter of 2025 to RMB818.9 million (US$118.7 million) this quarter. The increase was mainly due to the depreciation of newly acquired and leased servers, and network equipment which were mainly related to AI business. Solution development and services costs increased by 13.8% year-over-year from RMB505.2 million in the same quarter of 2025 to RMB574.8 million (US$83.3 million) this quarter. The increase was mainly due to the solution personnel expansion of Camelot. Fulfillment costs and other costs were RMB1.8 million (US$0.3 million) and RMB51.4 million (US$7.4 million) this quarter.</w:t>
      </w:r>
    </w:p>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b w:val="1"/>
          <w:bCs w:val="1"/>
          <w:color w:val="231F20"/>
        </w:rPr>
        <w:t xml:space="preserve">Gross profit </w:t>
      </w:r>
      <w:r>
        <w:rPr>
          <w:rFonts w:ascii="Times New Roman" w:cs="Times New Roman" w:eastAsia="Times New Roman" w:hAnsi="Times New Roman"/>
          <w:sz w:val="18"/>
          <w:szCs w:val="18"/>
          <w:color w:val="231F20"/>
        </w:rPr>
        <w:t>was RMB345.7 million (US$50.1 million), representing an increase of 8.6% from RMB318.3 million in the same quarter of 2025. The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xml:space="preserve">increase was mainly due to the expansion of our revenue scale, especially the AI business. </w:t>
      </w:r>
      <w:r>
        <w:rPr>
          <w:rFonts w:ascii="Times New Roman" w:cs="Times New Roman" w:eastAsia="Times New Roman" w:hAnsi="Times New Roman"/>
          <w:sz w:val="18"/>
          <w:szCs w:val="18"/>
          <w:b w:val="1"/>
          <w:bCs w:val="1"/>
          <w:color w:val="231F20"/>
        </w:rPr>
        <w:t>Gross margin</w:t>
      </w:r>
      <w:r>
        <w:rPr>
          <w:rFonts w:ascii="Times New Roman" w:cs="Times New Roman" w:eastAsia="Times New Roman" w:hAnsi="Times New Roman"/>
          <w:sz w:val="18"/>
          <w:szCs w:val="18"/>
          <w:color w:val="231F20"/>
        </w:rPr>
        <w:t xml:space="preserve"> was 12.8% in this quarter, compared with 16.2% in the same quarter of 2025 and 16.9% in the fourth quarter last year. The decrease was mainly due to the higher cost of servers along with the expansion of AI business, as well as upfront costs incurred for future revenue-generating activities with certain customers. </w:t>
      </w:r>
      <w:r>
        <w:rPr>
          <w:rFonts w:ascii="Times New Roman" w:cs="Times New Roman" w:eastAsia="Times New Roman" w:hAnsi="Times New Roman"/>
          <w:sz w:val="18"/>
          <w:szCs w:val="18"/>
          <w:b w:val="1"/>
          <w:bCs w:val="1"/>
          <w:color w:val="231F20"/>
        </w:rPr>
        <w:t>Non-GAAP gross profit</w:t>
      </w:r>
      <w:r>
        <w:rPr>
          <w:rFonts w:ascii="Times New Roman" w:cs="Times New Roman" w:eastAsia="Times New Roman" w:hAnsi="Times New Roman"/>
          <w:sz w:val="29"/>
          <w:szCs w:val="29"/>
          <w:color w:val="231F20"/>
          <w:vertAlign w:val="superscript"/>
        </w:rPr>
        <w:t>2</w:t>
      </w:r>
      <w:r>
        <w:rPr>
          <w:rFonts w:ascii="Times New Roman" w:cs="Times New Roman" w:eastAsia="Times New Roman" w:hAnsi="Times New Roman"/>
          <w:sz w:val="18"/>
          <w:szCs w:val="18"/>
          <w:color w:val="231F20"/>
        </w:rPr>
        <w:t xml:space="preserve"> was RMB351.4</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231F20"/>
        </w:rPr>
        <w:t xml:space="preserve">million (US$50.9 million), compared with RMB327.7 million in the same period in 2025. </w:t>
      </w:r>
      <w:r>
        <w:rPr>
          <w:rFonts w:ascii="Times New Roman" w:cs="Times New Roman" w:eastAsia="Times New Roman" w:hAnsi="Times New Roman"/>
          <w:sz w:val="18"/>
          <w:szCs w:val="18"/>
          <w:b w:val="1"/>
          <w:bCs w:val="1"/>
          <w:color w:val="231F20"/>
        </w:rPr>
        <w:t>Non-GAAP gross margin</w:t>
      </w:r>
      <w:r>
        <w:rPr>
          <w:rFonts w:ascii="Times New Roman" w:cs="Times New Roman" w:eastAsia="Times New Roman" w:hAnsi="Times New Roman"/>
          <w:sz w:val="29"/>
          <w:szCs w:val="29"/>
          <w:color w:val="231F20"/>
          <w:vertAlign w:val="superscript"/>
        </w:rPr>
        <w:t>2</w:t>
      </w:r>
      <w:r>
        <w:rPr>
          <w:rFonts w:ascii="Times New Roman" w:cs="Times New Roman" w:eastAsia="Times New Roman" w:hAnsi="Times New Roman"/>
          <w:sz w:val="18"/>
          <w:szCs w:val="18"/>
          <w:color w:val="231F20"/>
        </w:rPr>
        <w:t xml:space="preserve"> was 13.0%, compared with 16.6% in the same period in 2025.</w:t>
      </w:r>
    </w:p>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231F20"/>
        </w:rPr>
        <w:t xml:space="preserve">Total operating expenses </w:t>
      </w:r>
      <w:r>
        <w:rPr>
          <w:rFonts w:ascii="Times New Roman" w:cs="Times New Roman" w:eastAsia="Times New Roman" w:hAnsi="Times New Roman"/>
          <w:sz w:val="18"/>
          <w:szCs w:val="18"/>
          <w:color w:val="231F20"/>
        </w:rPr>
        <w:t>were RMB511.9 million (US$74.2 million), decreased by 7.4% from RMB552.5 million in the same quarter of 2025 and</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decreased by 3.8% from RMB531.8 million last quarter. Among which:</w:t>
      </w:r>
    </w:p>
    <w:p>
      <w:pPr>
        <w:spacing w:after="0" w:line="15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231F20"/>
        </w:rPr>
        <w:t xml:space="preserve">Selling and marketing expenses </w:t>
      </w:r>
      <w:r>
        <w:rPr>
          <w:rFonts w:ascii="Times New Roman" w:cs="Times New Roman" w:eastAsia="Times New Roman" w:hAnsi="Times New Roman"/>
          <w:sz w:val="18"/>
          <w:szCs w:val="18"/>
          <w:color w:val="231F20"/>
        </w:rPr>
        <w:t>were RMB123.8 million (US$17.9 million), decreased by 14.2% from RMB144.3 million in the same period in 2025 and</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increased by 0.7% from RMB122.9 million last quarter. The year-over-year decrease was mainly due to the decrease of share-based compensation, and the quarter-over-quarter increase was mainly due to the increase of personnel costs and marketing expenses.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231F20"/>
        </w:rPr>
        <w:t xml:space="preserve">General and administrative expenses </w:t>
      </w:r>
      <w:r>
        <w:rPr>
          <w:rFonts w:ascii="Times New Roman" w:cs="Times New Roman" w:eastAsia="Times New Roman" w:hAnsi="Times New Roman"/>
          <w:sz w:val="18"/>
          <w:szCs w:val="18"/>
          <w:color w:val="231F20"/>
        </w:rPr>
        <w:t>were RMB194.8 million (US$28.2 million), increased by 7.0% from RMB182.0 million in the same period in 2025</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and decreased by 10.9% from RMB218.7 million last quarter. The year-over-year increase was mainly due to the increase of credit loss expenses, and the quarter-over-quarter decrease was mainly due to the decrease of personnel costs, and share-based compensation, as well as the decrease of credit loss expenses.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231F20"/>
        </w:rPr>
        <w:t xml:space="preserve">Research and development expenses </w:t>
      </w:r>
      <w:r>
        <w:rPr>
          <w:rFonts w:ascii="Times New Roman" w:cs="Times New Roman" w:eastAsia="Times New Roman" w:hAnsi="Times New Roman"/>
          <w:sz w:val="18"/>
          <w:szCs w:val="18"/>
          <w:color w:val="231F20"/>
        </w:rPr>
        <w:t>were RMB193.3 million (US$28.0 million), decreased by 14.5% from RMB226.2 million in the same period in</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2025 and increased by 1.6% from RMB190.2 million last quarter. The year-over-year decrease was mainly due to the decrease of personnel costs and share-based compensation.</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231F20"/>
        </w:rPr>
        <w:t xml:space="preserve">Operating loss </w:t>
      </w:r>
      <w:r>
        <w:rPr>
          <w:rFonts w:ascii="Times New Roman" w:cs="Times New Roman" w:eastAsia="Times New Roman" w:hAnsi="Times New Roman"/>
          <w:sz w:val="18"/>
          <w:szCs w:val="18"/>
          <w:color w:val="231F20"/>
        </w:rPr>
        <w:t>was RMB166.1 million (US$24.1 million), narrowed by 29.1% from RMB234.2 million in the same period in 2025 and increased by</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150.0% from RMB66.5 million last quarter. The year-over-year improvement was mainly due to the increase of revenue, while the sequential increase was</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231F20"/>
        </w:rPr>
        <w:t xml:space="preserve">mainly due to the impact of decrease in gross profit. </w:t>
      </w:r>
      <w:r>
        <w:rPr>
          <w:rFonts w:ascii="Times New Roman" w:cs="Times New Roman" w:eastAsia="Times New Roman" w:hAnsi="Times New Roman"/>
          <w:sz w:val="18"/>
          <w:szCs w:val="18"/>
          <w:b w:val="1"/>
          <w:bCs w:val="1"/>
          <w:color w:val="231F20"/>
        </w:rPr>
        <w:t>Non-GAAP operating loss</w:t>
      </w:r>
      <w:r>
        <w:rPr>
          <w:rFonts w:ascii="Times New Roman" w:cs="Times New Roman" w:eastAsia="Times New Roman" w:hAnsi="Times New Roman"/>
          <w:sz w:val="29"/>
          <w:szCs w:val="29"/>
          <w:color w:val="231F20"/>
          <w:vertAlign w:val="superscript"/>
        </w:rPr>
        <w:t>3</w:t>
      </w:r>
      <w:r>
        <w:rPr>
          <w:rFonts w:ascii="Times New Roman" w:cs="Times New Roman" w:eastAsia="Times New Roman" w:hAnsi="Times New Roman"/>
          <w:sz w:val="18"/>
          <w:szCs w:val="18"/>
          <w:color w:val="231F20"/>
        </w:rPr>
        <w:t xml:space="preserve"> was RMB59.8 million (US$8.7 million), compared with operating loss of RMB55.8 million in the same period last year and operating profit of RMB54.6 million last quarter.</w:t>
      </w:r>
    </w:p>
    <w:p>
      <w:pPr>
        <w:spacing w:after="0" w:line="240" w:lineRule="exact"/>
        <w:rPr>
          <w:sz w:val="20"/>
          <w:szCs w:val="20"/>
          <w:color w:val="auto"/>
        </w:rPr>
      </w:pPr>
    </w:p>
    <w:p>
      <w:pPr>
        <w:jc w:val="both"/>
        <w:ind w:right="20" w:firstLine="8"/>
        <w:spacing w:after="0" w:line="210" w:lineRule="auto"/>
        <w:tabs>
          <w:tab w:leader="none" w:pos="133"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gross profit is defined as gross profit excluding share-based compensation expenses allocated in the cost of revenues, and we define Non-GAAP gross margin as Non-GAAP gross profit as a percentage of revenues. See “Use of Non-GAAP Financial Measures” set forth at the end of this press release.</w:t>
      </w:r>
    </w:p>
    <w:p>
      <w:pPr>
        <w:spacing w:after="0" w:line="24" w:lineRule="exact"/>
        <w:rPr>
          <w:sz w:val="20"/>
          <w:szCs w:val="20"/>
          <w:color w:val="auto"/>
        </w:rPr>
      </w:pPr>
    </w:p>
    <w:p>
      <w:pPr>
        <w:jc w:val="both"/>
        <w:ind w:firstLine="8"/>
        <w:spacing w:after="0" w:line="210" w:lineRule="auto"/>
        <w:tabs>
          <w:tab w:leader="none" w:pos="112"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operating (loss) profit is defined as operating loss excluding share-based compensation expenses and amortization of intangible assets, and we define Non-GAAP operating (loss) profit margin as Non-GAAP operating (loss) profit as a percentage of revenues. See “Use of Non-GAAP Financial Measures”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28" w:lineRule="auto"/>
        <w:rPr>
          <w:sz w:val="20"/>
          <w:szCs w:val="20"/>
          <w:color w:val="auto"/>
        </w:rPr>
      </w:pPr>
      <w:r>
        <w:rPr>
          <w:rFonts w:ascii="Times New Roman" w:cs="Times New Roman" w:eastAsia="Times New Roman" w:hAnsi="Times New Roman"/>
          <w:sz w:val="18"/>
          <w:szCs w:val="18"/>
          <w:b w:val="1"/>
          <w:bCs w:val="1"/>
          <w:color w:val="231F20"/>
        </w:rPr>
        <w:t xml:space="preserve">Net loss </w:t>
      </w:r>
      <w:r>
        <w:rPr>
          <w:rFonts w:ascii="Times New Roman" w:cs="Times New Roman" w:eastAsia="Times New Roman" w:hAnsi="Times New Roman"/>
          <w:sz w:val="18"/>
          <w:szCs w:val="18"/>
          <w:color w:val="231F20"/>
        </w:rPr>
        <w:t>was RMB343.7 million (US$49.8 million), increased by 8.7% from RMB316.1 million in the same quarter of 2025 and increased by 111.0% from</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xml:space="preserve">RMB162.9 million last quarter. </w:t>
      </w:r>
      <w:r>
        <w:rPr>
          <w:rFonts w:ascii="Times New Roman" w:cs="Times New Roman" w:eastAsia="Times New Roman" w:hAnsi="Times New Roman"/>
          <w:sz w:val="18"/>
          <w:szCs w:val="18"/>
          <w:b w:val="1"/>
          <w:bCs w:val="1"/>
          <w:color w:val="231F20"/>
        </w:rPr>
        <w:t>Non-GAAP net loss</w:t>
      </w:r>
      <w:r>
        <w:rPr>
          <w:rFonts w:ascii="Times New Roman" w:cs="Times New Roman" w:eastAsia="Times New Roman" w:hAnsi="Times New Roman"/>
          <w:sz w:val="29"/>
          <w:szCs w:val="29"/>
          <w:color w:val="231F20"/>
          <w:vertAlign w:val="superscript"/>
        </w:rPr>
        <w:t>4</w:t>
      </w:r>
      <w:r>
        <w:rPr>
          <w:rFonts w:ascii="Times New Roman" w:cs="Times New Roman" w:eastAsia="Times New Roman" w:hAnsi="Times New Roman"/>
          <w:sz w:val="18"/>
          <w:szCs w:val="18"/>
          <w:color w:val="231F20"/>
        </w:rPr>
        <w:t xml:space="preserve"> was RMB237.1 million (US$34.4 million), compared with RMB190.6 million in the same quarter of 2025 and RMB94.6 million last quarter.</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b w:val="1"/>
          <w:bCs w:val="1"/>
          <w:color w:val="231F20"/>
        </w:rPr>
        <w:t>Non-GAAP EBITDA</w:t>
      </w:r>
      <w:r>
        <w:rPr>
          <w:rFonts w:ascii="Times New Roman" w:cs="Times New Roman" w:eastAsia="Times New Roman" w:hAnsi="Times New Roman"/>
          <w:sz w:val="29"/>
          <w:szCs w:val="29"/>
          <w:color w:val="231F20"/>
          <w:vertAlign w:val="superscript"/>
        </w:rPr>
        <w:t>5</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was RMB747.5 million (US$108.4 million), compared with RMB318.5 million in the same quarter of 2025 and RMB785.2 million</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xml:space="preserve">last quarter. </w:t>
      </w:r>
      <w:r>
        <w:rPr>
          <w:rFonts w:ascii="Times New Roman" w:cs="Times New Roman" w:eastAsia="Times New Roman" w:hAnsi="Times New Roman"/>
          <w:sz w:val="18"/>
          <w:szCs w:val="18"/>
          <w:b w:val="1"/>
          <w:bCs w:val="1"/>
          <w:color w:val="231F20"/>
        </w:rPr>
        <w:t>Non-GAAP EBITDA margin</w:t>
      </w:r>
      <w:r>
        <w:rPr>
          <w:rFonts w:ascii="Times New Roman" w:cs="Times New Roman" w:eastAsia="Times New Roman" w:hAnsi="Times New Roman"/>
          <w:sz w:val="18"/>
          <w:szCs w:val="18"/>
          <w:color w:val="231F20"/>
        </w:rPr>
        <w:t xml:space="preserve"> was 27.6%, compared with 16.2% in the same quarter of 2025 and 28.4% last quarter.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 xml:space="preserve">Basic and diluted net loss per share </w:t>
      </w:r>
      <w:r>
        <w:rPr>
          <w:rFonts w:ascii="Times New Roman" w:cs="Times New Roman" w:eastAsia="Times New Roman" w:hAnsi="Times New Roman"/>
          <w:sz w:val="18"/>
          <w:szCs w:val="18"/>
          <w:color w:val="231F20"/>
        </w:rPr>
        <w:t>was RMB0.08 (US$0.01), compared with RMB0.08 in the same quarter of 2025 and RMB0.04 last quarter.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231F20"/>
        </w:rPr>
        <w:t xml:space="preserve">Cash and cash equivalents </w:t>
      </w:r>
      <w:r>
        <w:rPr>
          <w:rFonts w:ascii="Times New Roman" w:cs="Times New Roman" w:eastAsia="Times New Roman" w:hAnsi="Times New Roman"/>
          <w:sz w:val="18"/>
          <w:szCs w:val="18"/>
          <w:color w:val="231F20"/>
        </w:rPr>
        <w:t>were RMB4,903.8 million (US$710.9 million) as of March 31, 2026, compared with RMB6,018.0 million as of December 31,</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2025. The decrease was mainly due to the investment into the procurement of computing power equipment.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 xml:space="preserve">Outstanding ordinary shares </w:t>
      </w:r>
      <w:r>
        <w:rPr>
          <w:rFonts w:ascii="Times New Roman" w:cs="Times New Roman" w:eastAsia="Times New Roman" w:hAnsi="Times New Roman"/>
          <w:sz w:val="18"/>
          <w:szCs w:val="18"/>
          <w:color w:val="231F20"/>
        </w:rPr>
        <w:t>were 4,490,544,972 as of March 31, 2026, equivalent to about 299,369,665 ADSs.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Kingsoft Cloud’s management will host an earnings conference call on Wednesday, May 27, 2026 at 8:15 am, U.S. Eastern Time (8:15 pm, Beijing/Hong Kong Time on the same day).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can register for the conference call by navigating to https://register-conf.media-server.com/register/BI0c3c6d36e97944f292b62e0d1101c115.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preregistration has been completed, participants will receive dial-in numbers, direct event passcode, and a unique access PIN.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join the conference, simply dial the number in the calendar invite you receive after preregistering, enter the passcode followed by your PIN, and you will join the conference instantly.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a live and archived webcast of the conference call will also be available on the Company’s investor relations website at http://ir.ksyun.com.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Measures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unaudited condensed consolidated financial information is prepared in conformity with accounting principles generally accepted in the United States of America (“U.S. GAAP”). In evaluating our business, we consider and use certain non-GAAP measures, Non-GAAP gross profit, Non-GAAP gross margin, Non-GAAP operating (loss) profit, Non-GAAP operating (loss) profit margin, Non-GAAP EBITDA, Non-GAAP EBITDA margin, Non-GAAP net loss and Non-GAAP net loss margin, as supplemental measures to review and assess our operating performance. The presentation of these non-GAAP financial measures is not intended to be considered in isolation or as a substitute for the financial information prepared and presented in accordance with U.S. GAAP. We define Non-GAAP gross profit as gross profit excluding share-based compensation expenses allocated in the cost of revenues, and we define Non-GAAP gross margin as Non-GAAP gross profit as a percentage of revenues. We define Non-GAAP operating (loss) profit as operating loss excluding share-based compensation expenses and amortization of intangible assets, and we define Non-GAAP operating (loss) profit margin as Non-GAAP operating (loss) profit as a percentage of revenues. We define Non-GAAP net loss as net loss excluding share-based compensation expenses and foreign exchange (gain) loss, and we define Non-GAAP net loss margin as Non-GAAP net loss as a percentage of revenues. We define Non-GAAP EBITDA as Non-GAAP net loss excluding interest income, interest expense, income tax expense (benefit) and depreciation and amortization, and we define Non-GAAP EBITDA margin as Non-GAAP EBITDA as a percentage of revenues. We present these non-GAAP financial measures because they are used by our management to evaluate our operating performance and formulate business plans. We also believe that the use of these non-GAAP measures facilitates investors’ assessment of our operating performance.</w:t>
      </w:r>
    </w:p>
    <w:p>
      <w:pPr>
        <w:spacing w:after="0" w:line="238" w:lineRule="exact"/>
        <w:rPr>
          <w:sz w:val="20"/>
          <w:szCs w:val="20"/>
          <w:color w:val="auto"/>
        </w:rPr>
      </w:pPr>
    </w:p>
    <w:p>
      <w:pPr>
        <w:ind w:right="20" w:firstLine="8"/>
        <w:spacing w:after="0" w:line="195" w:lineRule="auto"/>
        <w:tabs>
          <w:tab w:leader="none" w:pos="123"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net loss is defined as net loss excluding share-based compensation expenses and foreign exchange (gain) loss, and we define Non-GAAP net loss margin as Non-GAAP net loss as a percentage of revenues. See “Use of Non-GAAP Financial Measures” set forth at the end of this press release.</w:t>
      </w:r>
    </w:p>
    <w:p>
      <w:pPr>
        <w:spacing w:after="0" w:line="24" w:lineRule="exact"/>
        <w:rPr>
          <w:sz w:val="20"/>
          <w:szCs w:val="20"/>
          <w:color w:val="auto"/>
        </w:rPr>
      </w:pPr>
    </w:p>
    <w:p>
      <w:pPr>
        <w:jc w:val="both"/>
        <w:ind w:firstLine="8"/>
        <w:spacing w:after="0" w:line="210" w:lineRule="auto"/>
        <w:tabs>
          <w:tab w:leader="none" w:pos="132"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EBITDA is defined as Non-GAAP net loss excluding interest income, interest expense, income tax expense (benefit) and depreciation and amortization, and we define Non-GAAP EBITDA margin as Non-GAAP EBITDA as a percentage of revenues. See “Use of Non-GAAP Financial Measures”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These non-GAAP financial measures are not defined under U.S. GAAP and are not presented in accordance with U.S. GAAP. These non-GAAP financial measures have limitations as analytical tools. One of the key limitations of using these non-GAAP financial measures is that they do not reflect all items of income and expense that affect our operations. Further, these non-GAAP measures may differ from the non-GAAP information used by other companies, including peer companies, and therefore their comparability may be limited.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compensate for these limitations by reconciling these non-GAAP financial measures to the nearest U.S. GAAP performance measure, all of which should be considered when evaluating our performance. We encourage you to review our financial information in its entirety and not rely on a single financial measure.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Exchange Rate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contains translations of certain RMB amounts into U.S. dollars at specified rates solely for the convenience of readers. Unless otherwise noted, all translations from RMB to U.S. dollars, in this press release, were made at a rate of RMB6.8980 to US$1.00, the noon buying rate in effect on March 31, 2026 as certified for customs purposes by the Federal Reserve Bank of New York.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Kingsoft Cloud’s strategic and operational plans, contain forward-looking statements. Kingsoft Cloud may also make written or oral forward-looking statements in its periodic reports to the U.S. Securities and Exchange Commission (“SEC”), in its annual report to shareholders, in press releases and other written materials and in oral statements made by its officers, directors or employees to third parties. Statements that are not historical facts, including but not limited to statements about Kingsoft Cloud’s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Kingsoft Cloud’s goals and strategies; Kingsoft Cloud’s future business development, results of operations and financial condition; relevant government policies and regulations relating to Kingsoft Cloud’ s business and industry; the expected growth of the cloud service market in China; the expectation regarding the rate at which to gain customers, especially Premium Customers; Kingsoft Cloud’s ability to monetize the customer base; fluctuations in general economic and business conditions in China; and the economy in China and elsewhere generally; China’s political or social conditions and assumptions underlying or related to any of the foregoing. Further information regarding these and other risks is included in Kingsoft Cloud’s filings with the SEC. All information provided in this press release and in the attachments is as of the date of this press release, and Kingsoft Cloud does not undertake any obligation to update any forward-looking statement, except as required under applicable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Kingsoft Cloud Holdings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Kingsoft Cloud Holdings Limited (NASDAQ: KC and HKEX:3896) is a leading cloud service provider in China. With extensive cloud infrastructure, cutting-edge cloud-native products based on vigorous cloud technology research and development capabilities, well-architected industry-specific solutions and end-to-end fulfillment and deployment, Kingsoft Cloud offers comprehensive, reliable and trusted cloud service to customers in strategically selected verticals.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http://ir.ksyun.com</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Kingsoft Cloud Holdings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Wayne Wang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(10) 6292-7777 Ext. 6300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r>
        <w:rPr>
          <w:rFonts w:ascii="Times New Roman" w:cs="Times New Roman" w:eastAsia="Times New Roman" w:hAnsi="Times New Roman"/>
          <w:sz w:val="18"/>
          <w:szCs w:val="18"/>
          <w:u w:val="single" w:color="auto"/>
          <w:color w:val="auto"/>
        </w:rPr>
        <w:t>ksc-ir@kingsoft.com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Tian Kaiyan has served as our senior vice president since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 31,</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 31,</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 31,</w:t>
            </w: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9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gridSpan w:val="2"/>
          </w:tcPr>
          <w:p>
            <w:pPr>
              <w:spacing w:after="0"/>
              <w:rPr>
                <w:sz w:val="18"/>
                <w:szCs w:val="18"/>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6,018,043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4,903,797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710,901</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99,194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46,897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6,799</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1,740,472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2,066,757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299,617</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2,592,314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2,796,114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405,350</w:t>
            </w:r>
          </w:p>
        </w:tc>
        <w:tc>
          <w:tcPr>
            <w:tcW w:w="8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573,396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686,697</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99,550</w:t>
            </w: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11,023,419</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10,500,262</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1,522,217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10,094,870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12,173,645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1,764,808</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532,769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489,142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70,911</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4,605,724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4,605,724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667,690</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139,836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271,264</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39,325</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234,166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281,712</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40,840</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98,405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134,505</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19,499</w:t>
            </w: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15,705,770</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17,955,992</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2,603,073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26,729,189</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28,456,254</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4,125,290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4"/>
        </w:trPr>
        <w:tc>
          <w:tcPr>
            <w:tcW w:w="6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NON-CONTROLLING INTERESTS AND SHAREHOLDERS'</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2,014,453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2,216,441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321,316</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3,222,429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3,564,021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516,675</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3,348,279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3,590,727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520,546</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73,310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72,128</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10,456</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721,932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722,431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104,731</w:t>
            </w:r>
          </w:p>
        </w:tc>
        <w:tc>
          <w:tcPr>
            <w:tcW w:w="80" w:type="dxa"/>
            <w:vAlign w:val="bottom"/>
            <w:shd w:val="clear" w:color="auto" w:fill="CCEEFF"/>
          </w:tcPr>
          <w:p>
            <w:pPr>
              <w:spacing w:after="0"/>
              <w:rPr>
                <w:sz w:val="18"/>
                <w:szCs w:val="18"/>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40,941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50,993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7,392</w:t>
            </w:r>
          </w:p>
        </w:tc>
        <w:tc>
          <w:tcPr>
            <w:tcW w:w="80" w:type="dxa"/>
            <w:vAlign w:val="bottom"/>
          </w:tcPr>
          <w:p>
            <w:pPr>
              <w:spacing w:after="0"/>
              <w:rPr>
                <w:sz w:val="19"/>
                <w:szCs w:val="19"/>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9,421,344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10,216,741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1,481,116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3,023,538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3,293,125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477,403</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2,212,325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2,023,958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293,412</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61,914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57,259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8,301</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2,645,895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3,804,427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551,526</w:t>
            </w:r>
          </w:p>
        </w:tc>
        <w:tc>
          <w:tcPr>
            <w:tcW w:w="8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51,139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62,426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9,050</w:t>
            </w:r>
          </w:p>
        </w:tc>
        <w:tc>
          <w:tcPr>
            <w:tcW w:w="80" w:type="dxa"/>
            <w:vAlign w:val="bottom"/>
            <w:shd w:val="clear" w:color="auto" w:fill="CCEEFF"/>
          </w:tcPr>
          <w:p>
            <w:pPr>
              <w:spacing w:after="0"/>
              <w:rPr>
                <w:sz w:val="19"/>
                <w:szCs w:val="19"/>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7,994,811</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9,241,195</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1,339,692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17,416,155</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19,457,936</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2,820,808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30,888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30,888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4,478</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(31,068)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(18,958)</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(2,748)</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24,073,006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24,124,371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3,497,299</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Statutory reserves funds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51,661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51,661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7,489</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(15,247,868)</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(15,591,688)</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(2,260,320)</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440,407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405,935</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58,848</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Kingsoft Cloud Holdings Limited shareholders’ equity</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9,317,026</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9,002,209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1,305,046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(3,992)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(3,891)</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(564)</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9,313,034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8,998,318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1,304,482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non-controlling interests and shareholders’ equity</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26,729,189</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28,456,254</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4,125,290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520" w:type="dxa"/>
            <w:vAlign w:val="bottom"/>
          </w:tcPr>
          <w:p>
            <w:pPr>
              <w:spacing w:after="0"/>
              <w:rPr>
                <w:sz w:val="16"/>
                <w:szCs w:val="16"/>
                <w:color w:val="auto"/>
              </w:rPr>
            </w:pPr>
          </w:p>
        </w:tc>
        <w:tc>
          <w:tcPr>
            <w:tcW w:w="1500" w:type="dxa"/>
            <w:vAlign w:val="bottom"/>
            <w:gridSpan w:val="2"/>
          </w:tcPr>
          <w:p>
            <w:pPr>
              <w:jc w:val="center"/>
              <w:ind w:right="141"/>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 31,</w:t>
            </w:r>
          </w:p>
        </w:tc>
        <w:tc>
          <w:tcPr>
            <w:tcW w:w="1440" w:type="dxa"/>
            <w:vAlign w:val="bottom"/>
            <w:gridSpan w:val="2"/>
          </w:tcPr>
          <w:p>
            <w:pPr>
              <w:jc w:val="center"/>
              <w:ind w:right="161"/>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 31,</w:t>
            </w:r>
          </w:p>
        </w:tc>
        <w:tc>
          <w:tcPr>
            <w:tcW w:w="1440" w:type="dxa"/>
            <w:vAlign w:val="bottom"/>
            <w:gridSpan w:val="2"/>
          </w:tcPr>
          <w:p>
            <w:pPr>
              <w:jc w:val="center"/>
              <w:ind w:right="141"/>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 31,</w:t>
            </w:r>
          </w:p>
        </w:tc>
        <w:tc>
          <w:tcPr>
            <w:tcW w:w="100" w:type="dxa"/>
            <w:vAlign w:val="bottom"/>
          </w:tcPr>
          <w:p>
            <w:pPr>
              <w:spacing w:after="0"/>
              <w:rPr>
                <w:sz w:val="16"/>
                <w:szCs w:val="16"/>
                <w:color w:val="auto"/>
              </w:rPr>
            </w:pPr>
          </w:p>
        </w:tc>
      </w:tr>
      <w:tr>
        <w:trPr>
          <w:trHeight w:val="238"/>
        </w:trPr>
        <w:tc>
          <w:tcPr>
            <w:tcW w:w="55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Public cloud services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1,353,479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1,902,378</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1,996,301</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289,403</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cloud services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616,498</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859,009</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707,431</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102,556</w:t>
            </w:r>
          </w:p>
        </w:tc>
      </w:tr>
      <w:tr>
        <w:trPr>
          <w:trHeight w:val="210"/>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1,969,977</w:t>
            </w:r>
          </w:p>
        </w:tc>
        <w:tc>
          <w:tcPr>
            <w:tcW w:w="2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2,761,387</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2,703,732</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391,959</w:t>
            </w:r>
          </w:p>
        </w:tc>
        <w:tc>
          <w:tcPr>
            <w:tcW w:w="100" w:type="dxa"/>
            <w:vAlign w:val="bottom"/>
            <w:tcBorders>
              <w:bottom w:val="single" w:sz="8" w:color="CCEEFF"/>
            </w:tcBorders>
          </w:tcPr>
          <w:p>
            <w:pPr>
              <w:spacing w:after="0"/>
              <w:rPr>
                <w:sz w:val="18"/>
                <w:szCs w:val="18"/>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(1,651,671</w:t>
            </w:r>
          </w:p>
        </w:tc>
        <w:tc>
          <w:tcPr>
            <w:tcW w:w="2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(2,296,037</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(2,357,984</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318,306</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465,350</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345,748</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50,123</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(144,338)</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(122,914)</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(123,776)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(17,944)</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(181,999)</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(218,685)</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(194,765)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(28,235)</w:t>
            </w: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(226,170)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(190,201)</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(193,315)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(28,025)</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(552,507</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(531,800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(511,856</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(74,204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(234,201)</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(66,450)</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(166,108)</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(24,081)</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4,946</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39,039</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32,030</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4,643</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(82,897)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(153,415)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(153,595)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(22,267)</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9,051</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10,265</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(44,006)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gain (loss), net</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3,244</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(5,822)</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(6,588)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(7,012)</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(306,869)</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(176,309)</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(338,639)</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(49,094)</w:t>
            </w:r>
          </w:p>
        </w:tc>
        <w:tc>
          <w:tcPr>
            <w:tcW w:w="100" w:type="dxa"/>
            <w:vAlign w:val="bottom"/>
          </w:tcPr>
          <w:p>
            <w:pPr>
              <w:spacing w:after="0"/>
              <w:rPr>
                <w:sz w:val="18"/>
                <w:szCs w:val="18"/>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(9,241)</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13,437</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(5,081)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(316,110)</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(162,872)</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(343,720)</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(49,831)</w:t>
            </w:r>
          </w:p>
        </w:tc>
        <w:tc>
          <w:tcPr>
            <w:tcW w:w="100" w:type="dxa"/>
            <w:vAlign w:val="bottom"/>
          </w:tcPr>
          <w:p>
            <w:pPr>
              <w:spacing w:after="0"/>
              <w:rPr>
                <w:sz w:val="18"/>
                <w:szCs w:val="18"/>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profit attributable to non-controlling interests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(2,184)</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(2,632)</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w:t>
            </w:r>
          </w:p>
        </w:tc>
      </w:tr>
      <w:tr>
        <w:trPr>
          <w:trHeight w:val="26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Kingsoft Cloud Holdings Limited</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(313,926</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(160,240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(343,820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(49,845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6"/>
        </w:trPr>
        <w:tc>
          <w:tcPr>
            <w:tcW w:w="5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(0.08)</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(0.04)</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Shares used in the net loss per share computation: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3,728,092,123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4,544,291,397</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4,555,310,453</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4,555,310,453</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 of nil:</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7,744</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(70,987)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(34,472)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(4,997)</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(308,366)</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(233,859)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(378,192)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(54,828)</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Comprehensive (loss) income attributable to non-controlling</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(2,200)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(2,388)</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w:t>
            </w:r>
          </w:p>
        </w:tc>
      </w:tr>
      <w:tr>
        <w:trPr>
          <w:trHeight w:val="174"/>
        </w:trPr>
        <w:tc>
          <w:tcPr>
            <w:tcW w:w="55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Comprehensive loss attributable to Kingsoft Cloud Holdings Limited</w:t>
            </w:r>
          </w:p>
        </w:tc>
        <w:tc>
          <w:tcPr>
            <w:tcW w:w="12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5"/>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(306,166)</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(231,471)</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(378,292)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(54,842)</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AND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percentage)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520" w:type="dxa"/>
            <w:vAlign w:val="bottom"/>
          </w:tcPr>
          <w:p>
            <w:pPr>
              <w:spacing w:after="0"/>
              <w:rPr>
                <w:sz w:val="16"/>
                <w:szCs w:val="16"/>
                <w:color w:val="auto"/>
              </w:rPr>
            </w:pPr>
          </w:p>
        </w:tc>
        <w:tc>
          <w:tcPr>
            <w:tcW w:w="150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 31,</w:t>
            </w:r>
          </w:p>
        </w:tc>
        <w:tc>
          <w:tcPr>
            <w:tcW w:w="144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 31,</w:t>
            </w:r>
          </w:p>
        </w:tc>
        <w:tc>
          <w:tcPr>
            <w:tcW w:w="144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 31,</w:t>
            </w:r>
          </w:p>
        </w:tc>
        <w:tc>
          <w:tcPr>
            <w:tcW w:w="100" w:type="dxa"/>
            <w:vAlign w:val="bottom"/>
          </w:tcPr>
          <w:p>
            <w:pPr>
              <w:spacing w:after="0"/>
              <w:rPr>
                <w:sz w:val="16"/>
                <w:szCs w:val="16"/>
                <w:color w:val="auto"/>
              </w:rPr>
            </w:pPr>
          </w:p>
        </w:tc>
      </w:tr>
      <w:tr>
        <w:trPr>
          <w:trHeight w:val="238"/>
        </w:trPr>
        <w:tc>
          <w:tcPr>
            <w:tcW w:w="55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318,306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465,350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345,748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50,123</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Share-based compensation expenses (allocated in cost of revenues)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9,365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(Non-GAAP Financial Measure)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327,671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470,876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351,406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50,943</w:t>
            </w:r>
          </w:p>
        </w:tc>
      </w:tr>
      <w:tr>
        <w:trPr>
          <w:trHeight w:val="657"/>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AND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percentage)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87"/>
        </w:trPr>
        <w:tc>
          <w:tcPr>
            <w:tcW w:w="6800" w:type="dxa"/>
            <w:vAlign w:val="bottom"/>
          </w:tcPr>
          <w:p>
            <w:pPr>
              <w:spacing w:after="0"/>
              <w:rPr>
                <w:sz w:val="16"/>
                <w:szCs w:val="16"/>
                <w:color w:val="auto"/>
              </w:rPr>
            </w:pPr>
          </w:p>
        </w:tc>
        <w:tc>
          <w:tcPr>
            <w:tcW w:w="1520" w:type="dxa"/>
            <w:vAlign w:val="bottom"/>
            <w:gridSpan w:val="2"/>
          </w:tcPr>
          <w:p>
            <w:pPr>
              <w:jc w:val="center"/>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150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 31,</w:t>
            </w: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 31,</w:t>
            </w:r>
          </w:p>
        </w:tc>
        <w:tc>
          <w:tcPr>
            <w:tcW w:w="180" w:type="dxa"/>
            <w:vAlign w:val="bottom"/>
          </w:tcPr>
          <w:p>
            <w:pPr>
              <w:spacing w:after="0"/>
              <w:rPr>
                <w:sz w:val="16"/>
                <w:szCs w:val="16"/>
                <w:color w:val="auto"/>
              </w:rPr>
            </w:pPr>
          </w:p>
        </w:tc>
      </w:tr>
      <w:tr>
        <w:trPr>
          <w:trHeight w:val="238"/>
        </w:trPr>
        <w:tc>
          <w:tcPr>
            <w:tcW w:w="68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CCEEFF"/>
            </w:tcBorders>
          </w:tcPr>
          <w:p>
            <w:pPr>
              <w:spacing w:after="0"/>
              <w:rPr>
                <w:sz w:val="20"/>
                <w:szCs w:val="20"/>
                <w:color w:val="auto"/>
              </w:rPr>
            </w:pPr>
          </w:p>
        </w:tc>
      </w:tr>
      <w:tr>
        <w:trPr>
          <w:trHeight w:val="20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16.2%</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r>
      <w:tr>
        <w:trPr>
          <w:trHeight w:val="238"/>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margin (Non-GAAP Financial Measure)</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16.6%</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r>
      <w:tr>
        <w:trPr>
          <w:trHeight w:val="653"/>
        </w:trPr>
        <w:tc>
          <w:tcPr>
            <w:tcW w:w="6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AND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percentage)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520" w:type="dxa"/>
            <w:vAlign w:val="bottom"/>
          </w:tcPr>
          <w:p>
            <w:pPr>
              <w:spacing w:after="0"/>
              <w:rPr>
                <w:sz w:val="16"/>
                <w:szCs w:val="16"/>
                <w:color w:val="auto"/>
              </w:rPr>
            </w:pPr>
          </w:p>
        </w:tc>
        <w:tc>
          <w:tcPr>
            <w:tcW w:w="150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 31,</w:t>
            </w:r>
          </w:p>
        </w:tc>
        <w:tc>
          <w:tcPr>
            <w:tcW w:w="144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 31,</w:t>
            </w:r>
          </w:p>
        </w:tc>
        <w:tc>
          <w:tcPr>
            <w:tcW w:w="144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 31,</w:t>
            </w:r>
          </w:p>
        </w:tc>
        <w:tc>
          <w:tcPr>
            <w:tcW w:w="100" w:type="dxa"/>
            <w:vAlign w:val="bottom"/>
          </w:tcPr>
          <w:p>
            <w:pPr>
              <w:spacing w:after="0"/>
              <w:rPr>
                <w:sz w:val="16"/>
                <w:szCs w:val="16"/>
                <w:color w:val="auto"/>
              </w:rPr>
            </w:pPr>
          </w:p>
        </w:tc>
      </w:tr>
      <w:tr>
        <w:trPr>
          <w:trHeight w:val="238"/>
        </w:trPr>
        <w:tc>
          <w:tcPr>
            <w:tcW w:w="55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r>
      <w:tr>
        <w:trPr>
          <w:trHeight w:val="209"/>
        </w:trPr>
        <w:tc>
          <w:tcPr>
            <w:tcW w:w="55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(316,110)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(162,872)</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(343,720)</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(49,831)</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Share-based compensation expenses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134,611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78,505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62,571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9,071</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Foreign exchange (gain) loss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(9,051)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(10,265)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44,006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6,380</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loss (Non-GAAP Financial Measure)</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(190,550)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(94,632)</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(237,143)</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(34,380)</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Interest income</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(4,946)</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(39,039)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(32,030)</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(4,643)</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Interest expense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82,897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153,415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153,595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22,267</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Income tax expense (benefit)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9,241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(13,437)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Depreciation and amortization</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421,901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778,941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858,003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124,384</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(Non-GAAP Financial Measure)</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318,543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785,248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747,506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108,365</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Gain on disposal of property and equipment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(2,110)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(72,662)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Excluding gain on disposal of property and equipment, normalized</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316,433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712,586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747,506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108,365</w:t>
            </w:r>
          </w:p>
        </w:tc>
      </w:tr>
      <w:tr>
        <w:trPr>
          <w:trHeight w:val="675"/>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AND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percentage)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520" w:type="dxa"/>
            <w:vAlign w:val="bottom"/>
          </w:tcPr>
          <w:p>
            <w:pPr>
              <w:spacing w:after="0"/>
              <w:rPr>
                <w:sz w:val="16"/>
                <w:szCs w:val="16"/>
                <w:color w:val="auto"/>
              </w:rPr>
            </w:pPr>
          </w:p>
        </w:tc>
        <w:tc>
          <w:tcPr>
            <w:tcW w:w="150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 31,</w:t>
            </w:r>
          </w:p>
        </w:tc>
        <w:tc>
          <w:tcPr>
            <w:tcW w:w="144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 31,</w:t>
            </w:r>
          </w:p>
        </w:tc>
        <w:tc>
          <w:tcPr>
            <w:tcW w:w="144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 31,</w:t>
            </w:r>
          </w:p>
        </w:tc>
        <w:tc>
          <w:tcPr>
            <w:tcW w:w="100" w:type="dxa"/>
            <w:vAlign w:val="bottom"/>
          </w:tcPr>
          <w:p>
            <w:pPr>
              <w:spacing w:after="0"/>
              <w:rPr>
                <w:sz w:val="16"/>
                <w:szCs w:val="16"/>
                <w:color w:val="auto"/>
              </w:rPr>
            </w:pPr>
          </w:p>
        </w:tc>
      </w:tr>
      <w:tr>
        <w:trPr>
          <w:trHeight w:val="238"/>
        </w:trPr>
        <w:tc>
          <w:tcPr>
            <w:tcW w:w="55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r>
      <w:tr>
        <w:trPr>
          <w:trHeight w:val="209"/>
        </w:trPr>
        <w:tc>
          <w:tcPr>
            <w:tcW w:w="55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(234,201)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(66,450)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(166,108)</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(24,081)</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Share-based compensation expenses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134,611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78,505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62,571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9,071</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Amortization of intangible assets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43,781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42,531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43,720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6,338</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(loss) profit (Non-GAAP Financial Measure)</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(55,809)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54,586</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(59,817)</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(8,672)</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Gain on disposal of property and equipment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(2,110)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(72,662)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Excluding gain on disposal of property and equipment, normalized</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loss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(57,919)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(18,076)</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(59,817)</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(8,672)</w:t>
            </w:r>
          </w:p>
        </w:tc>
      </w:tr>
      <w:tr>
        <w:trPr>
          <w:trHeight w:val="675"/>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AND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percentage)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87"/>
        </w:trPr>
        <w:tc>
          <w:tcPr>
            <w:tcW w:w="6800" w:type="dxa"/>
            <w:vAlign w:val="bottom"/>
          </w:tcPr>
          <w:p>
            <w:pPr>
              <w:spacing w:after="0"/>
              <w:rPr>
                <w:sz w:val="16"/>
                <w:szCs w:val="16"/>
                <w:color w:val="auto"/>
              </w:rPr>
            </w:pPr>
          </w:p>
        </w:tc>
        <w:tc>
          <w:tcPr>
            <w:tcW w:w="1520" w:type="dxa"/>
            <w:vAlign w:val="bottom"/>
            <w:gridSpan w:val="2"/>
          </w:tcPr>
          <w:p>
            <w:pPr>
              <w:jc w:val="center"/>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150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 31,</w:t>
            </w: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 31,</w:t>
            </w:r>
          </w:p>
        </w:tc>
        <w:tc>
          <w:tcPr>
            <w:tcW w:w="180" w:type="dxa"/>
            <w:vAlign w:val="bottom"/>
          </w:tcPr>
          <w:p>
            <w:pPr>
              <w:spacing w:after="0"/>
              <w:rPr>
                <w:sz w:val="16"/>
                <w:szCs w:val="16"/>
                <w:color w:val="auto"/>
              </w:rPr>
            </w:pPr>
          </w:p>
        </w:tc>
      </w:tr>
      <w:tr>
        <w:trPr>
          <w:trHeight w:val="238"/>
        </w:trPr>
        <w:tc>
          <w:tcPr>
            <w:tcW w:w="68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CCEEFF"/>
            </w:tcBorders>
          </w:tcPr>
          <w:p>
            <w:pPr>
              <w:spacing w:after="0"/>
              <w:rPr>
                <w:sz w:val="20"/>
                <w:szCs w:val="20"/>
                <w:color w:val="auto"/>
              </w:rPr>
            </w:pPr>
          </w:p>
        </w:tc>
      </w:tr>
      <w:tr>
        <w:trPr>
          <w:trHeight w:val="20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margin</w:t>
            </w:r>
          </w:p>
        </w:tc>
        <w:tc>
          <w:tcPr>
            <w:tcW w:w="1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-16.0%</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loss margin (Non-GAAP Financial Measure)</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-9.7%</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 (Non-GAAP Financial Measure)</w:t>
            </w:r>
          </w:p>
        </w:tc>
        <w:tc>
          <w:tcPr>
            <w:tcW w:w="1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16.2%</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Normalized Adjusted EBITDA margin</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16.1%</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27.6%</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(loss) profit margin (Non-GAAP Financial Measure)</w:t>
            </w:r>
          </w:p>
        </w:tc>
        <w:tc>
          <w:tcPr>
            <w:tcW w:w="1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38"/>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Normalized Adjusted operating loss margin</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653"/>
        </w:trPr>
        <w:tc>
          <w:tcPr>
            <w:tcW w:w="6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KINGSOFT CLOUD HOLDINGS LIMITED UNAUDITED CONDENSED CONSOLIDATED STATEMENT OF CASH FLOWS (All amounts in thousands)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520" w:type="dxa"/>
            <w:vAlign w:val="bottom"/>
          </w:tcPr>
          <w:p>
            <w:pPr>
              <w:spacing w:after="0"/>
              <w:rPr>
                <w:sz w:val="16"/>
                <w:szCs w:val="16"/>
                <w:color w:val="auto"/>
              </w:rPr>
            </w:pPr>
          </w:p>
        </w:tc>
        <w:tc>
          <w:tcPr>
            <w:tcW w:w="150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 31,</w:t>
            </w:r>
          </w:p>
        </w:tc>
        <w:tc>
          <w:tcPr>
            <w:tcW w:w="144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 31,</w:t>
            </w:r>
          </w:p>
        </w:tc>
        <w:tc>
          <w:tcPr>
            <w:tcW w:w="144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 31,</w:t>
            </w:r>
          </w:p>
        </w:tc>
        <w:tc>
          <w:tcPr>
            <w:tcW w:w="100" w:type="dxa"/>
            <w:vAlign w:val="bottom"/>
          </w:tcPr>
          <w:p>
            <w:pPr>
              <w:spacing w:after="0"/>
              <w:rPr>
                <w:sz w:val="16"/>
                <w:szCs w:val="16"/>
                <w:color w:val="auto"/>
              </w:rPr>
            </w:pPr>
          </w:p>
        </w:tc>
      </w:tr>
      <w:tr>
        <w:trPr>
          <w:trHeight w:val="238"/>
        </w:trPr>
        <w:tc>
          <w:tcPr>
            <w:tcW w:w="55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r>
      <w:tr>
        <w:trPr>
          <w:trHeight w:val="209"/>
        </w:trPr>
        <w:tc>
          <w:tcPr>
            <w:tcW w:w="55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generated from operating activities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(418,390)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1,042,626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533,978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77,411</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(490,393)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(427,671)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(1,630,049)</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(236,307)</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 financing activities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549,998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1,514,234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7,606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1,103</w:t>
            </w: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cash equivalents and restricted</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15,028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(62,205)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(78,078)</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(11,320)</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(343,757)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2,066,984</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(1,166,543)</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(169,113)</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2,730,101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4,050,253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6,117,237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886,813</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2,386,344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6,117,237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4,950,694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717,700</w:t>
            </w:r>
          </w:p>
        </w:tc>
      </w:tr>
      <w:tr>
        <w:trPr>
          <w:trHeight w:val="675"/>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3"/>
      <w:numFmt w:val="bullet"/>
      <w:start w:val="1"/>
    </w:lvl>
  </w:abstractNum>
  <w:abstractNum w:abstractNumId="3">
    <w:nsid w:val="238E1F29"/>
    <w:multiLevelType w:val="hybridMultilevel"/>
    <w:lvl w:ilvl="0">
      <w:lvlJc w:val="left"/>
      <w:lvlText w:val="4"/>
      <w:numFmt w:val="bullet"/>
      <w:start w:val="1"/>
    </w:lvl>
  </w:abstractNum>
  <w:abstractNum w:abstractNumId="4">
    <w:nsid w:val="46E87CCD"/>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2026-05-27T05:22:44Z</dcterms:created>
  <dcterms:modified xsi:type="dcterms:W3CDTF">2026-05-27T05:22:44Z</dcterms:modified>
</cp:coreProperties>
</file>