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9743d1_6k.htm"/>
      <w:bookmarkStart w:id="1" w:name="kstm2619743d1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001-39278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Xiaomi Science and Technology Park, No. 33 Xierqi Middle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Haidian District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100085, the 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July 7, 2026 to The Stock Exchange of Hong Kong Limited in relation to the movements in our authorized share capital and issued shares in June 2026. For details, please refer to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995"/>
        <w:gridCol w:w="504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5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9743d1_ex99-1.htm">
              <w:r>
                <w:rPr>
                  <w:rStyle w:val="InternetLink"/>
                  <w:rFonts w:ascii="Times New Roman;Times;Serif" w:hAnsi="Times New Roman;Times;Serif"/>
                  <w:sz w:val="20"/>
                </w:rPr>
                <w:t>99.1</w:t>
              </w:r>
            </w:hyperlink>
          </w:p>
        </w:tc>
        <w:tc>
          <w:tcPr>
            <w:tcW w:w="5045" w:type="dxa"/>
            <w:tcBorders/>
            <w:vAlign w:val="center"/>
          </w:tcPr>
          <w:p>
            <w:pPr>
              <w:pStyle w:val="TableContents"/>
              <w:bidi w:val="0"/>
              <w:spacing w:before="0" w:after="283"/>
              <w:jc w:val="left"/>
              <w:rPr/>
            </w:pPr>
            <w:hyperlink w:anchor="tm2619743d1_ex99-1.htm">
              <w:r>
                <w:rPr>
                  <w:rStyle w:val="InternetLink"/>
                  <w:rFonts w:ascii="Times New Roman;Times;Serif" w:hAnsi="Times New Roman;Times;Serif"/>
                  <w:sz w:val="20"/>
                </w:rPr>
                <w:t>Monthly Return for Equity Issuer on Movements in Securities</w:t>
              </w:r>
            </w:hyperlink>
          </w:p>
        </w:tc>
      </w:tr>
    </w:tbl>
    <w:p>
      <w:pPr>
        <w:pStyle w:val="TextBody"/>
        <w:bidi w:val="0"/>
        <w:spacing w:before="0" w:after="283"/>
        <w:jc w:val="left"/>
        <w:rPr/>
      </w:pPr>
      <w:r>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1520"/>
        <w:gridCol w:w="320"/>
        <w:gridCol w:w="545"/>
        <w:gridCol w:w="2225"/>
      </w:tblGrid>
      <w:tr>
        <w:trPr/>
        <w:tc>
          <w:tcPr>
            <w:tcW w:w="1520" w:type="dxa"/>
            <w:tcBorders/>
            <w:vAlign w:val="center"/>
          </w:tcPr>
          <w:p>
            <w:pPr>
              <w:pStyle w:val="TableContents"/>
              <w:bidi w:val="0"/>
              <w:spacing w:before="0" w:after="283"/>
              <w:jc w:val="left"/>
              <w:rPr/>
            </w:pPr>
            <w:r>
              <w:rPr/>
              <w:t> </w:t>
            </w:r>
          </w:p>
        </w:tc>
        <w:tc>
          <w:tcPr>
            <w:tcW w:w="309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Kingsoft Cloud Holdings Limited</w:t>
            </w:r>
          </w:p>
        </w:tc>
      </w:tr>
      <w:tr>
        <w:trPr/>
        <w:tc>
          <w:tcPr>
            <w:tcW w:w="1520" w:type="dxa"/>
            <w:tcBorders/>
            <w:vAlign w:val="center"/>
          </w:tcPr>
          <w:p>
            <w:pPr>
              <w:pStyle w:val="TableContents"/>
              <w:bidi w:val="0"/>
              <w:spacing w:before="0" w:after="283"/>
              <w:jc w:val="left"/>
              <w:rPr/>
            </w:pPr>
            <w:r>
              <w:rPr/>
              <w:t> </w:t>
            </w:r>
          </w:p>
        </w:tc>
        <w:tc>
          <w:tcPr>
            <w:tcW w:w="3090" w:type="dxa"/>
            <w:gridSpan w:val="3"/>
            <w:tcBorders/>
            <w:vAlign w:val="center"/>
          </w:tcPr>
          <w:p>
            <w:pPr>
              <w:pStyle w:val="TableContents"/>
              <w:bidi w:val="0"/>
              <w:spacing w:before="0" w:after="283"/>
              <w:jc w:val="both"/>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7,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770" w:type="dxa"/>
            <w:gridSpan w:val="2"/>
            <w:tcBorders>
              <w:bottom w:val="single" w:sz="8" w:space="0" w:color="000000"/>
            </w:tcBorders>
            <w:tcMar>
              <w:bottom w:w="28" w:type="dxa"/>
            </w:tcMar>
            <w:vAlign w:val="center"/>
          </w:tcPr>
          <w:p>
            <w:pPr>
              <w:pStyle w:val="TableContents"/>
              <w:bidi w:val="0"/>
              <w:spacing w:before="0" w:after="283"/>
              <w:jc w:val="both"/>
              <w:rPr/>
            </w:pPr>
            <w:r>
              <w:rPr/>
              <w:t>/s/ Yi Li</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225" w:type="dxa"/>
            <w:tcBorders/>
            <w:vAlign w:val="center"/>
          </w:tcPr>
          <w:p>
            <w:pPr>
              <w:pStyle w:val="TableContents"/>
              <w:bidi w:val="0"/>
              <w:spacing w:before="0" w:after="283"/>
              <w:jc w:val="both"/>
              <w:rPr/>
            </w:pPr>
            <w:r>
              <w:rPr/>
              <w:t>Yi Li</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19743d1_ex99-1.htm"/>
      <w:bookmarkStart w:id="3" w:name="kstm2619743d1_ex991"/>
      <w:bookmarkEnd w:id="2"/>
      <w:bookmarkEnd w:id="3"/>
      <w:r>
        <w:rPr>
          <w:rFonts w:ascii="Times New Roman" w:hAnsi="Times New Roman"/>
          <w:b/>
          <w:sz w:val="20"/>
        </w:rPr>
        <w:t>Exhibit 99.1</w:t>
      </w:r>
      <w:r>
        <w:br w:type="page"/>
      </w:r>
    </w:p>
    <w:tbl>
      <w:tblPr>
        <w:tblW w:w="10205" w:type="dxa"/>
        <w:jc w:val="center"/>
        <w:tblInd w:w="0" w:type="dxa"/>
        <w:tblLayout w:type="fixed"/>
        <w:tblCellMar>
          <w:top w:w="0" w:type="dxa"/>
          <w:left w:w="0" w:type="dxa"/>
          <w:bottom w:w="0" w:type="dxa"/>
          <w:right w:w="0" w:type="dxa"/>
        </w:tblCellMar>
      </w:tblPr>
      <w:tblGrid>
        <w:gridCol w:w="176"/>
        <w:gridCol w:w="9726"/>
        <w:gridCol w:w="303"/>
      </w:tblGrid>
      <w:tr>
        <w:trPr/>
        <w:tc>
          <w:tcPr>
            <w:tcW w:w="176" w:type="dxa"/>
            <w:tcBorders/>
            <w:vAlign w:val="center"/>
          </w:tcPr>
          <w:p>
            <w:pPr>
              <w:pStyle w:val="TableContents"/>
              <w:bidi w:val="0"/>
              <w:spacing w:before="0" w:after="283"/>
              <w:jc w:val="left"/>
              <w:rPr>
                <w:sz w:val="4"/>
                <w:szCs w:val="4"/>
              </w:rPr>
            </w:pPr>
            <w:r>
              <w:rPr>
                <w:sz w:val="4"/>
                <w:szCs w:val="4"/>
              </w:rPr>
            </w:r>
          </w:p>
        </w:tc>
        <w:tc>
          <w:tcPr>
            <w:tcW w:w="9726" w:type="dxa"/>
            <w:tcBorders/>
          </w:tcPr>
          <w:p>
            <w:pPr>
              <w:pStyle w:val="TableContents"/>
              <w:bidi w:val="0"/>
              <w:spacing w:before="0" w:after="0"/>
              <w:ind w:left="0" w:right="0" w:hanging="0"/>
              <w:jc w:val="center"/>
              <w:rPr/>
            </w:pPr>
            <w:r>
              <w:rPr/>
              <w:drawing>
                <wp:inline distT="0" distB="0" distL="0" distR="0">
                  <wp:extent cx="5340350" cy="3771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40350" cy="3771900"/>
                          </a:xfrm>
                          <a:prstGeom prst="rect">
                            <a:avLst/>
                          </a:prstGeom>
                        </pic:spPr>
                      </pic:pic>
                    </a:graphicData>
                  </a:graphic>
                </wp:inline>
              </w:drawing>
            </w:r>
          </w:p>
        </w:tc>
        <w:tc>
          <w:tcPr>
            <w:tcW w:w="30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June 2026 Status: New Submission To : Hong Kong Exchanges and Clearing Limited Name of Issuer: Kingsoft Cloud Holdings Limited Date Submitted: 07 July 2026 I. Movements in Authorised / Registered Share Capital 1. Class of shares Ordinary shares Type of shares Not applicable Listed on the Exchange (Note 1) Yes Stock code (if listed) 03896 Description Number of authorised/registered shares Par value Authorised/registered share capital Balance at close of preceding month 40,000,000,000 USD 0.001 USD 40,000,000 Increase / decrease (-) USD Balance at close of the month 40,000,000,000 USD 0.001 USD 40,000,000 Total authorised/registered share capital at the end of the month: USD 40,000,000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03896 Description Number of issued shares (excluding treasury shares) Number of treasury shares Total number of issued shares Balance at close of preceding month 4,531,784,801 0 4,531,784,801 Increase / decrease (-) Balance at close of the month 4,531,784,801 0 4,531,784,801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Ordinary shares Type of shares Not applicable Listed on the Exchange (Note 1) Yes Stock code (if listed) 03896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2013 Share Option Scheme 13,308,760 Others -732,555 12,576,205 12,510,828 General Meeting approval date (if applicable) 27 February 2013 Increase in issued shares (excluding treasury shares): Ordinary shares (AA1) Decrease in treasury shares: Ordinary shares (AA2) Total funds raised during the month from exercise of options: USD 54,370.3 Remarks: No further grant of any share options under the 2013 Share Option Scheme will be made after December 30, 2022 (the date on which the Shares were listed and on which dealings in the Shares were to be first permitted to take place on the Hong Kong Stock Exchange).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03896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2013 Share Award Scheme 22 February 2013 0 10,464,383 2). 2021 Share Incentive Plan 15 November 2021 0 173,466,967 Increase in issued shares (excluding treasury shares): 0 Ordinary shares (DD1) Decrease in treasury shares: Ordinary shares (DD2) Remarks: No further grant of any share awards under the 2013 Share Award Scheme will be made after December 30, 2022 (the date on which the Shares were listed and on which dealings in the Shares were to be first permitted to take place on the Hong Kong Stock Exchange).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Zou Tao Title: Executive Director, Chairman of the Board and acting Chief Executive Officer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1850</Words>
  <Characters>9360</Characters>
  <CharactersWithSpaces>11231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