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001-39278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Kingsoft Cloud Holdings Limited</w:t>
      </w:r>
    </w:p>
    <w:p>
      <w:pPr>
        <w:spacing w:after="0" w:line="4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Building D, Xiaomi Science and Technology Park, No. 33 Xierqi Middle Road,</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Haidian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Beijing, 100085, the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44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18"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100" w:type="dxa"/>
            <w:vAlign w:val="bottom"/>
            <w:gridSpan w:val="3"/>
          </w:tcPr>
          <w:p>
            <w:pPr>
              <w:ind w:left="3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24"/>
                <w:szCs w:val="24"/>
                <w:color w:val="auto"/>
              </w:rPr>
            </w:pPr>
          </w:p>
        </w:tc>
        <w:tc>
          <w:tcPr>
            <w:tcW w:w="6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Announcement — Poll Results of the Annual General Meeting Held on June 30, 2026</w:t>
            </w:r>
          </w:p>
        </w:tc>
        <w:tc>
          <w:tcPr>
            <w:tcW w:w="3900" w:type="dxa"/>
            <w:vAlign w:val="bottom"/>
            <w:gridSpan w:val="2"/>
          </w:tcPr>
          <w:p>
            <w:pPr>
              <w:spacing w:after="0"/>
              <w:rPr>
                <w:sz w:val="24"/>
                <w:szCs w:val="24"/>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82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The Third Amended and Restated Memorandum of Association of Kingsoft Cloud Holdings Limited</w:t>
            </w:r>
          </w:p>
        </w:tc>
      </w:tr>
      <w:tr>
        <w:trPr>
          <w:trHeight w:val="695"/>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20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0000EE"/>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Kingsoft Cloud Holdings Limited</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30,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Yi Li</w:t>
            </w:r>
          </w:p>
        </w:tc>
      </w:tr>
      <w:tr>
        <w:trPr>
          <w:trHeight w:val="191"/>
        </w:trPr>
        <w:tc>
          <w:tcPr>
            <w:tcW w:w="35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Yi Li</w:t>
            </w:r>
          </w:p>
        </w:tc>
      </w:tr>
      <w:tr>
        <w:trPr>
          <w:trHeight w:val="234"/>
        </w:trPr>
        <w:tc>
          <w:tcPr>
            <w:tcW w:w="3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648"/>
        </w:trPr>
        <w:tc>
          <w:tcPr>
            <w:tcW w:w="35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123190</wp:posOffset>
            </wp:positionV>
            <wp:extent cx="2597150" cy="617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715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34" w:lineRule="exact"/>
        <w:rPr>
          <w:sz w:val="20"/>
          <w:szCs w:val="20"/>
          <w:color w:val="auto"/>
        </w:rPr>
      </w:pPr>
    </w:p>
    <w:p>
      <w:pPr>
        <w:ind w:left="4840"/>
        <w:spacing w:after="0" w:line="206" w:lineRule="exact"/>
        <w:rPr>
          <w:sz w:val="20"/>
          <w:szCs w:val="20"/>
          <w:color w:val="auto"/>
        </w:rPr>
      </w:pPr>
      <w:r>
        <w:rPr>
          <w:rFonts w:ascii="SimSun" w:cs="SimSun" w:eastAsia="SimSun" w:hAnsi="SimSun"/>
          <w:sz w:val="18"/>
          <w:szCs w:val="18"/>
          <w:color w:val="auto"/>
          <w:highlight w:val="black"/>
        </w:rPr>
        <w:t>金山云控股有限公司</w:t>
      </w:r>
    </w:p>
    <w:p>
      <w:pPr>
        <w:spacing w:after="0" w:line="2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3896)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(Nasdaq Stock Ticker: KC)</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POLL RESULTS OF THE ANNUAL GENERAL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HELD ON JUNE 30, 2026</w:t>
      </w:r>
    </w:p>
    <w:p>
      <w:pPr>
        <w:spacing w:after="0" w:line="20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References is made to the circular (the “</w:t>
      </w:r>
      <w:r>
        <w:rPr>
          <w:rFonts w:ascii="Times New Roman" w:cs="Times New Roman" w:eastAsia="Times New Roman" w:hAnsi="Times New Roman"/>
          <w:sz w:val="18"/>
          <w:szCs w:val="18"/>
          <w:b w:val="1"/>
          <w:bCs w:val="1"/>
          <w:color w:val="auto"/>
        </w:rPr>
        <w:t>Circular</w:t>
      </w:r>
      <w:r>
        <w:rPr>
          <w:rFonts w:ascii="Times New Roman" w:cs="Times New Roman" w:eastAsia="Times New Roman" w:hAnsi="Times New Roman"/>
          <w:sz w:val="18"/>
          <w:szCs w:val="18"/>
          <w:color w:val="auto"/>
        </w:rPr>
        <w:t>”) of Kingsoft Cloud Holdings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incorporating, amongst others, the notice of the annual general meeting of the Company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dated May 29, 2026. Unless otherwise defined herein, capitalized terms used in this announcement shall have the same meanings as defined in the Circular.</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is pleased to announce that all the resolutions proposed at the AGM were duly passed by the Shareholders by way of poll. The poll results are as follows: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80" w:type="dxa"/>
            <w:vAlign w:val="bottom"/>
            <w:tcBorders>
              <w:top w:val="single" w:sz="8" w:color="231F20"/>
              <w:left w:val="single" w:sz="8" w:color="231F20"/>
            </w:tcBorders>
          </w:tcPr>
          <w:p>
            <w:pPr>
              <w:spacing w:after="0"/>
              <w:rPr>
                <w:sz w:val="23"/>
                <w:szCs w:val="23"/>
                <w:color w:val="auto"/>
              </w:rPr>
            </w:pPr>
          </w:p>
        </w:tc>
        <w:tc>
          <w:tcPr>
            <w:tcW w:w="4400" w:type="dxa"/>
            <w:vAlign w:val="bottom"/>
            <w:tcBorders>
              <w:top w:val="single" w:sz="8" w:color="231F20"/>
              <w:right w:val="single" w:sz="8" w:color="231F20"/>
            </w:tcBorders>
          </w:tcPr>
          <w:p>
            <w:pPr>
              <w:spacing w:after="0"/>
              <w:rPr>
                <w:sz w:val="23"/>
                <w:szCs w:val="23"/>
                <w:color w:val="auto"/>
              </w:rPr>
            </w:pPr>
          </w:p>
        </w:tc>
        <w:tc>
          <w:tcPr>
            <w:tcW w:w="2120" w:type="dxa"/>
            <w:vAlign w:val="bottom"/>
            <w:tcBorders>
              <w:top w:val="single" w:sz="8" w:color="231F20"/>
            </w:tcBorders>
          </w:tcPr>
          <w:p>
            <w:pPr>
              <w:spacing w:after="0"/>
              <w:rPr>
                <w:sz w:val="23"/>
                <w:szCs w:val="23"/>
                <w:color w:val="auto"/>
              </w:rPr>
            </w:pPr>
          </w:p>
        </w:tc>
        <w:tc>
          <w:tcPr>
            <w:tcW w:w="2600" w:type="dxa"/>
            <w:vAlign w:val="bottom"/>
            <w:tcBorders>
              <w:top w:val="single" w:sz="8" w:color="231F20"/>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NUMBER OF VOTES CAST</w:t>
            </w:r>
          </w:p>
        </w:tc>
        <w:tc>
          <w:tcPr>
            <w:tcW w:w="1640" w:type="dxa"/>
            <w:vAlign w:val="bottom"/>
            <w:tcBorders>
              <w:top w:val="single" w:sz="8" w:color="231F20"/>
              <w:right w:val="single" w:sz="8" w:color="231F20"/>
            </w:tcBorders>
          </w:tcPr>
          <w:p>
            <w:pPr>
              <w:spacing w:after="0"/>
              <w:rPr>
                <w:sz w:val="23"/>
                <w:szCs w:val="23"/>
                <w:color w:val="auto"/>
              </w:rPr>
            </w:pPr>
          </w:p>
        </w:tc>
      </w:tr>
      <w:tr>
        <w:trPr>
          <w:trHeight w:val="238"/>
        </w:trPr>
        <w:tc>
          <w:tcPr>
            <w:tcW w:w="480" w:type="dxa"/>
            <w:vAlign w:val="bottom"/>
            <w:tcBorders>
              <w:left w:val="single" w:sz="8" w:color="231F20"/>
            </w:tcBorders>
          </w:tcPr>
          <w:p>
            <w:pPr>
              <w:spacing w:after="0"/>
              <w:rPr>
                <w:sz w:val="20"/>
                <w:szCs w:val="20"/>
                <w:color w:val="auto"/>
              </w:rPr>
            </w:pPr>
          </w:p>
        </w:tc>
        <w:tc>
          <w:tcPr>
            <w:tcW w:w="4400" w:type="dxa"/>
            <w:vAlign w:val="bottom"/>
            <w:tcBorders>
              <w:right w:val="single" w:sz="8" w:color="231F20"/>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ORDINARY RESOLUTIONS</w:t>
            </w:r>
          </w:p>
        </w:tc>
        <w:tc>
          <w:tcPr>
            <w:tcW w:w="2120" w:type="dxa"/>
            <w:vAlign w:val="bottom"/>
            <w:tcBorders>
              <w:bottom w:val="single" w:sz="8" w:color="231F20"/>
            </w:tcBorders>
          </w:tcPr>
          <w:p>
            <w:pPr>
              <w:spacing w:after="0"/>
              <w:rPr>
                <w:sz w:val="20"/>
                <w:szCs w:val="20"/>
                <w:color w:val="auto"/>
              </w:rPr>
            </w:pPr>
          </w:p>
        </w:tc>
        <w:tc>
          <w:tcPr>
            <w:tcW w:w="2600" w:type="dxa"/>
            <w:vAlign w:val="bottom"/>
            <w:tcBorders>
              <w:bottom w:val="single" w:sz="8" w:color="231F20"/>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AND PERCENTAGE (%)</w:t>
            </w:r>
          </w:p>
        </w:tc>
        <w:tc>
          <w:tcPr>
            <w:tcW w:w="1640" w:type="dxa"/>
            <w:vAlign w:val="bottom"/>
            <w:tcBorders>
              <w:bottom w:val="single" w:sz="8" w:color="231F20"/>
              <w:right w:val="single" w:sz="8" w:color="231F20"/>
            </w:tcBorders>
          </w:tcPr>
          <w:p>
            <w:pPr>
              <w:spacing w:after="0"/>
              <w:rPr>
                <w:sz w:val="20"/>
                <w:szCs w:val="20"/>
                <w:color w:val="auto"/>
              </w:rPr>
            </w:pPr>
          </w:p>
        </w:tc>
      </w:tr>
      <w:tr>
        <w:trPr>
          <w:trHeight w:val="277"/>
        </w:trPr>
        <w:tc>
          <w:tcPr>
            <w:tcW w:w="480" w:type="dxa"/>
            <w:vAlign w:val="bottom"/>
            <w:tcBorders>
              <w:left w:val="single" w:sz="8" w:color="231F20"/>
              <w:bottom w:val="single" w:sz="8" w:color="231F20"/>
            </w:tcBorders>
          </w:tcPr>
          <w:p>
            <w:pPr>
              <w:spacing w:after="0"/>
              <w:rPr>
                <w:sz w:val="24"/>
                <w:szCs w:val="24"/>
                <w:color w:val="auto"/>
              </w:rPr>
            </w:pPr>
          </w:p>
        </w:tc>
        <w:tc>
          <w:tcPr>
            <w:tcW w:w="4400" w:type="dxa"/>
            <w:vAlign w:val="bottom"/>
            <w:tcBorders>
              <w:bottom w:val="single" w:sz="8" w:color="231F20"/>
              <w:right w:val="single" w:sz="8" w:color="231F20"/>
            </w:tcBorders>
          </w:tcPr>
          <w:p>
            <w:pPr>
              <w:spacing w:after="0"/>
              <w:rPr>
                <w:sz w:val="24"/>
                <w:szCs w:val="24"/>
                <w:color w:val="auto"/>
              </w:rPr>
            </w:pPr>
          </w:p>
        </w:tc>
        <w:tc>
          <w:tcPr>
            <w:tcW w:w="2120" w:type="dxa"/>
            <w:vAlign w:val="bottom"/>
            <w:tcBorders>
              <w:bottom w:val="single" w:sz="8" w:color="231F20"/>
              <w:right w:val="single" w:sz="8" w:color="231F20"/>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FOR</w:t>
            </w:r>
          </w:p>
        </w:tc>
        <w:tc>
          <w:tcPr>
            <w:tcW w:w="2120" w:type="dxa"/>
            <w:vAlign w:val="bottom"/>
            <w:tcBorders>
              <w:bottom w:val="single" w:sz="8" w:color="231F20"/>
              <w:right w:val="single" w:sz="8" w:color="231F20"/>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480" w:type="dxa"/>
            <w:vAlign w:val="bottom"/>
            <w:tcBorders>
              <w:bottom w:val="single" w:sz="8" w:color="231F20"/>
            </w:tcBorders>
          </w:tcPr>
          <w:p>
            <w:pPr>
              <w:spacing w:after="0"/>
              <w:rPr>
                <w:sz w:val="24"/>
                <w:szCs w:val="24"/>
                <w:color w:val="auto"/>
              </w:rPr>
            </w:pPr>
          </w:p>
        </w:tc>
        <w:tc>
          <w:tcPr>
            <w:tcW w:w="1640" w:type="dxa"/>
            <w:vAlign w:val="bottom"/>
            <w:tcBorders>
              <w:bottom w:val="single" w:sz="8" w:color="231F20"/>
              <w:right w:val="single" w:sz="8" w:color="231F20"/>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59"/>
        </w:trPr>
        <w:tc>
          <w:tcPr>
            <w:tcW w:w="480" w:type="dxa"/>
            <w:vAlign w:val="bottom"/>
            <w:tcBorders>
              <w:left w:val="single" w:sz="8" w:color="231F20"/>
              <w:right w:val="single" w:sz="8" w:color="231F20"/>
            </w:tcBorders>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44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To receive and adopt the audited consolidated financial</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2,296,216,787</w:t>
            </w:r>
          </w:p>
        </w:tc>
        <w:tc>
          <w:tcPr>
            <w:tcW w:w="2120" w:type="dxa"/>
            <w:vAlign w:val="bottom"/>
            <w:tcBorders>
              <w:right w:val="single" w:sz="8" w:color="231F20"/>
            </w:tcBorders>
          </w:tcPr>
          <w:p>
            <w:pPr>
              <w:jc w:val="right"/>
              <w:ind w:right="750"/>
              <w:spacing w:after="0"/>
              <w:rPr>
                <w:sz w:val="20"/>
                <w:szCs w:val="20"/>
                <w:color w:val="auto"/>
              </w:rPr>
            </w:pPr>
            <w:r>
              <w:rPr>
                <w:rFonts w:ascii="Times New Roman" w:cs="Times New Roman" w:eastAsia="Times New Roman" w:hAnsi="Times New Roman"/>
                <w:sz w:val="18"/>
                <w:szCs w:val="18"/>
                <w:color w:val="auto"/>
              </w:rPr>
              <w:t>61,485</w:t>
            </w:r>
          </w:p>
        </w:tc>
        <w:tc>
          <w:tcPr>
            <w:tcW w:w="480" w:type="dxa"/>
            <w:vAlign w:val="bottom"/>
          </w:tcPr>
          <w:p>
            <w:pPr>
              <w:spacing w:after="0"/>
              <w:rPr>
                <w:sz w:val="22"/>
                <w:szCs w:val="22"/>
                <w:color w:val="auto"/>
              </w:rPr>
            </w:pPr>
          </w:p>
        </w:tc>
        <w:tc>
          <w:tcPr>
            <w:tcW w:w="1640" w:type="dxa"/>
            <w:vAlign w:val="bottom"/>
            <w:tcBorders>
              <w:right w:val="single" w:sz="8" w:color="231F20"/>
            </w:tcBorders>
          </w:tcPr>
          <w:p>
            <w:pPr>
              <w:jc w:val="center"/>
              <w:ind w:right="390"/>
              <w:spacing w:after="0"/>
              <w:rPr>
                <w:sz w:val="20"/>
                <w:szCs w:val="20"/>
                <w:color w:val="auto"/>
              </w:rPr>
            </w:pPr>
            <w:r>
              <w:rPr>
                <w:rFonts w:ascii="Times New Roman" w:cs="Times New Roman" w:eastAsia="Times New Roman" w:hAnsi="Times New Roman"/>
                <w:sz w:val="18"/>
                <w:szCs w:val="18"/>
                <w:color w:val="auto"/>
              </w:rPr>
              <w:t>150,286</w:t>
            </w:r>
          </w:p>
        </w:tc>
      </w:tr>
      <w:tr>
        <w:trPr>
          <w:trHeight w:val="216"/>
        </w:trPr>
        <w:tc>
          <w:tcPr>
            <w:tcW w:w="480" w:type="dxa"/>
            <w:vAlign w:val="bottom"/>
            <w:tcBorders>
              <w:left w:val="single" w:sz="8" w:color="231F20"/>
              <w:right w:val="single" w:sz="8" w:color="231F20"/>
            </w:tcBorders>
          </w:tcPr>
          <w:p>
            <w:pPr>
              <w:spacing w:after="0"/>
              <w:rPr>
                <w:sz w:val="18"/>
                <w:szCs w:val="18"/>
                <w:color w:val="auto"/>
              </w:rPr>
            </w:pPr>
          </w:p>
        </w:tc>
        <w:tc>
          <w:tcPr>
            <w:tcW w:w="44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statements of the Company for the year ended December</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7"/>
              </w:rPr>
              <w:t>(99.99%)</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r>
      <w:tr>
        <w:trPr>
          <w:trHeight w:val="216"/>
        </w:trPr>
        <w:tc>
          <w:tcPr>
            <w:tcW w:w="480" w:type="dxa"/>
            <w:vAlign w:val="bottom"/>
            <w:tcBorders>
              <w:left w:val="single" w:sz="8" w:color="231F20"/>
              <w:right w:val="single" w:sz="8" w:color="231F20"/>
            </w:tcBorders>
          </w:tcPr>
          <w:p>
            <w:pPr>
              <w:spacing w:after="0"/>
              <w:rPr>
                <w:sz w:val="18"/>
                <w:szCs w:val="18"/>
                <w:color w:val="auto"/>
              </w:rPr>
            </w:pPr>
          </w:p>
        </w:tc>
        <w:tc>
          <w:tcPr>
            <w:tcW w:w="44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31, 2025 and the reports of the Directors and independent</w:t>
            </w:r>
          </w:p>
        </w:tc>
        <w:tc>
          <w:tcPr>
            <w:tcW w:w="212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r>
      <w:tr>
        <w:trPr>
          <w:trHeight w:val="234"/>
        </w:trPr>
        <w:tc>
          <w:tcPr>
            <w:tcW w:w="480" w:type="dxa"/>
            <w:vAlign w:val="bottom"/>
            <w:tcBorders>
              <w:left w:val="single" w:sz="8" w:color="231F20"/>
              <w:right w:val="single" w:sz="8" w:color="231F20"/>
            </w:tcBorders>
          </w:tcPr>
          <w:p>
            <w:pPr>
              <w:spacing w:after="0"/>
              <w:rPr>
                <w:sz w:val="20"/>
                <w:szCs w:val="20"/>
                <w:color w:val="auto"/>
              </w:rPr>
            </w:pPr>
          </w:p>
        </w:tc>
        <w:tc>
          <w:tcPr>
            <w:tcW w:w="44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auditor thereon.</w:t>
            </w:r>
          </w:p>
        </w:tc>
        <w:tc>
          <w:tcPr>
            <w:tcW w:w="2120" w:type="dxa"/>
            <w:vAlign w:val="bottom"/>
            <w:tcBorders>
              <w:right w:val="single" w:sz="8" w:color="231F20"/>
            </w:tcBorders>
          </w:tcPr>
          <w:p>
            <w:pPr>
              <w:spacing w:after="0"/>
              <w:rPr>
                <w:sz w:val="20"/>
                <w:szCs w:val="20"/>
                <w:color w:val="auto"/>
              </w:rPr>
            </w:pPr>
          </w:p>
        </w:tc>
        <w:tc>
          <w:tcPr>
            <w:tcW w:w="2120" w:type="dxa"/>
            <w:vAlign w:val="bottom"/>
            <w:tcBorders>
              <w:right w:val="single" w:sz="8" w:color="231F20"/>
            </w:tcBorders>
          </w:tcPr>
          <w:p>
            <w:pPr>
              <w:spacing w:after="0"/>
              <w:rPr>
                <w:sz w:val="20"/>
                <w:szCs w:val="20"/>
                <w:color w:val="auto"/>
              </w:rPr>
            </w:pPr>
          </w:p>
        </w:tc>
        <w:tc>
          <w:tcPr>
            <w:tcW w:w="480" w:type="dxa"/>
            <w:vAlign w:val="bottom"/>
          </w:tcPr>
          <w:p>
            <w:pPr>
              <w:spacing w:after="0"/>
              <w:rPr>
                <w:sz w:val="20"/>
                <w:szCs w:val="20"/>
                <w:color w:val="auto"/>
              </w:rPr>
            </w:pPr>
          </w:p>
        </w:tc>
        <w:tc>
          <w:tcPr>
            <w:tcW w:w="1640" w:type="dxa"/>
            <w:vAlign w:val="bottom"/>
            <w:tcBorders>
              <w:right w:val="single" w:sz="8" w:color="231F20"/>
            </w:tcBorders>
          </w:tcPr>
          <w:p>
            <w:pPr>
              <w:spacing w:after="0"/>
              <w:rPr>
                <w:sz w:val="20"/>
                <w:szCs w:val="20"/>
                <w:color w:val="auto"/>
              </w:rPr>
            </w:pPr>
          </w:p>
        </w:tc>
      </w:tr>
      <w:tr>
        <w:trPr>
          <w:trHeight w:val="27"/>
        </w:trPr>
        <w:tc>
          <w:tcPr>
            <w:tcW w:w="480" w:type="dxa"/>
            <w:vAlign w:val="bottom"/>
            <w:tcBorders>
              <w:left w:val="single" w:sz="8" w:color="231F20"/>
              <w:bottom w:val="single" w:sz="8" w:color="auto"/>
              <w:right w:val="single" w:sz="8" w:color="231F20"/>
            </w:tcBorders>
          </w:tcPr>
          <w:p>
            <w:pPr>
              <w:spacing w:after="0"/>
              <w:rPr>
                <w:sz w:val="2"/>
                <w:szCs w:val="2"/>
                <w:color w:val="auto"/>
              </w:rPr>
            </w:pPr>
          </w:p>
        </w:tc>
        <w:tc>
          <w:tcPr>
            <w:tcW w:w="4400" w:type="dxa"/>
            <w:vAlign w:val="bottom"/>
            <w:tcBorders>
              <w:bottom w:val="single" w:sz="8" w:color="auto"/>
              <w:right w:val="single" w:sz="8" w:color="231F20"/>
            </w:tcBorders>
          </w:tcPr>
          <w:p>
            <w:pPr>
              <w:spacing w:after="0"/>
              <w:rPr>
                <w:sz w:val="2"/>
                <w:szCs w:val="2"/>
                <w:color w:val="auto"/>
              </w:rPr>
            </w:pPr>
          </w:p>
        </w:tc>
        <w:tc>
          <w:tcPr>
            <w:tcW w:w="2120" w:type="dxa"/>
            <w:vAlign w:val="bottom"/>
            <w:tcBorders>
              <w:bottom w:val="single" w:sz="8" w:color="auto"/>
              <w:right w:val="single" w:sz="8" w:color="231F20"/>
            </w:tcBorders>
          </w:tcPr>
          <w:p>
            <w:pPr>
              <w:spacing w:after="0"/>
              <w:rPr>
                <w:sz w:val="2"/>
                <w:szCs w:val="2"/>
                <w:color w:val="auto"/>
              </w:rPr>
            </w:pPr>
          </w:p>
        </w:tc>
        <w:tc>
          <w:tcPr>
            <w:tcW w:w="2120" w:type="dxa"/>
            <w:vAlign w:val="bottom"/>
            <w:tcBorders>
              <w:bottom w:val="single" w:sz="8" w:color="auto"/>
              <w:right w:val="single" w:sz="8" w:color="231F20"/>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231F20"/>
            </w:tcBorders>
          </w:tcPr>
          <w:p>
            <w:pPr>
              <w:spacing w:after="0"/>
              <w:rPr>
                <w:sz w:val="2"/>
                <w:szCs w:val="2"/>
                <w:color w:val="auto"/>
              </w:rPr>
            </w:pPr>
          </w:p>
        </w:tc>
      </w:tr>
      <w:tr>
        <w:trPr>
          <w:trHeight w:val="259"/>
        </w:trPr>
        <w:tc>
          <w:tcPr>
            <w:tcW w:w="480" w:type="dxa"/>
            <w:vAlign w:val="bottom"/>
            <w:tcBorders>
              <w:left w:val="single" w:sz="8" w:color="231F20"/>
              <w:right w:val="single" w:sz="8" w:color="231F20"/>
            </w:tcBorders>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44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To re-elect Mr. Qu Heng as a non- executive Director.</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2,284,296,842</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12,088,501</w:t>
            </w:r>
          </w:p>
        </w:tc>
        <w:tc>
          <w:tcPr>
            <w:tcW w:w="480" w:type="dxa"/>
            <w:vAlign w:val="bottom"/>
          </w:tcPr>
          <w:p>
            <w:pPr>
              <w:spacing w:after="0"/>
              <w:rPr>
                <w:sz w:val="22"/>
                <w:szCs w:val="22"/>
                <w:color w:val="auto"/>
              </w:rPr>
            </w:pPr>
          </w:p>
        </w:tc>
        <w:tc>
          <w:tcPr>
            <w:tcW w:w="1640" w:type="dxa"/>
            <w:vAlign w:val="bottom"/>
            <w:tcBorders>
              <w:right w:val="single" w:sz="8" w:color="231F20"/>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6"/>
              </w:rPr>
              <w:t>41,670</w:t>
            </w:r>
          </w:p>
        </w:tc>
      </w:tr>
      <w:tr>
        <w:trPr>
          <w:trHeight w:val="234"/>
        </w:trPr>
        <w:tc>
          <w:tcPr>
            <w:tcW w:w="480" w:type="dxa"/>
            <w:vAlign w:val="bottom"/>
            <w:tcBorders>
              <w:left w:val="single" w:sz="8" w:color="231F20"/>
              <w:right w:val="single" w:sz="8" w:color="231F20"/>
            </w:tcBorders>
          </w:tcPr>
          <w:p>
            <w:pPr>
              <w:spacing w:after="0"/>
              <w:rPr>
                <w:sz w:val="20"/>
                <w:szCs w:val="20"/>
                <w:color w:val="auto"/>
              </w:rPr>
            </w:pPr>
          </w:p>
        </w:tc>
        <w:tc>
          <w:tcPr>
            <w:tcW w:w="4400" w:type="dxa"/>
            <w:vAlign w:val="bottom"/>
            <w:tcBorders>
              <w:right w:val="single" w:sz="8" w:color="231F20"/>
            </w:tcBorders>
          </w:tcPr>
          <w:p>
            <w:pPr>
              <w:spacing w:after="0"/>
              <w:rPr>
                <w:sz w:val="20"/>
                <w:szCs w:val="20"/>
                <w:color w:val="auto"/>
              </w:rPr>
            </w:pP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(99.47%)</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(0.53%)</w:t>
            </w:r>
          </w:p>
        </w:tc>
        <w:tc>
          <w:tcPr>
            <w:tcW w:w="480" w:type="dxa"/>
            <w:vAlign w:val="bottom"/>
          </w:tcPr>
          <w:p>
            <w:pPr>
              <w:spacing w:after="0"/>
              <w:rPr>
                <w:sz w:val="20"/>
                <w:szCs w:val="20"/>
                <w:color w:val="auto"/>
              </w:rPr>
            </w:pPr>
          </w:p>
        </w:tc>
        <w:tc>
          <w:tcPr>
            <w:tcW w:w="1640" w:type="dxa"/>
            <w:vAlign w:val="bottom"/>
            <w:tcBorders>
              <w:right w:val="single" w:sz="8" w:color="231F20"/>
            </w:tcBorders>
          </w:tcPr>
          <w:p>
            <w:pPr>
              <w:spacing w:after="0"/>
              <w:rPr>
                <w:sz w:val="20"/>
                <w:szCs w:val="20"/>
                <w:color w:val="auto"/>
              </w:rPr>
            </w:pPr>
          </w:p>
        </w:tc>
      </w:tr>
      <w:tr>
        <w:trPr>
          <w:trHeight w:val="27"/>
        </w:trPr>
        <w:tc>
          <w:tcPr>
            <w:tcW w:w="480" w:type="dxa"/>
            <w:vAlign w:val="bottom"/>
            <w:tcBorders>
              <w:left w:val="single" w:sz="8" w:color="231F20"/>
              <w:bottom w:val="single" w:sz="8" w:color="auto"/>
              <w:right w:val="single" w:sz="8" w:color="231F20"/>
            </w:tcBorders>
          </w:tcPr>
          <w:p>
            <w:pPr>
              <w:spacing w:after="0"/>
              <w:rPr>
                <w:sz w:val="2"/>
                <w:szCs w:val="2"/>
                <w:color w:val="auto"/>
              </w:rPr>
            </w:pPr>
          </w:p>
        </w:tc>
        <w:tc>
          <w:tcPr>
            <w:tcW w:w="4400" w:type="dxa"/>
            <w:vAlign w:val="bottom"/>
            <w:tcBorders>
              <w:bottom w:val="single" w:sz="8" w:color="auto"/>
              <w:right w:val="single" w:sz="8" w:color="231F20"/>
            </w:tcBorders>
          </w:tcPr>
          <w:p>
            <w:pPr>
              <w:spacing w:after="0"/>
              <w:rPr>
                <w:sz w:val="2"/>
                <w:szCs w:val="2"/>
                <w:color w:val="auto"/>
              </w:rPr>
            </w:pPr>
          </w:p>
        </w:tc>
        <w:tc>
          <w:tcPr>
            <w:tcW w:w="2120" w:type="dxa"/>
            <w:vAlign w:val="bottom"/>
            <w:tcBorders>
              <w:bottom w:val="single" w:sz="8" w:color="auto"/>
              <w:right w:val="single" w:sz="8" w:color="231F20"/>
            </w:tcBorders>
          </w:tcPr>
          <w:p>
            <w:pPr>
              <w:spacing w:after="0"/>
              <w:rPr>
                <w:sz w:val="2"/>
                <w:szCs w:val="2"/>
                <w:color w:val="auto"/>
              </w:rPr>
            </w:pPr>
          </w:p>
        </w:tc>
        <w:tc>
          <w:tcPr>
            <w:tcW w:w="2120" w:type="dxa"/>
            <w:vAlign w:val="bottom"/>
            <w:tcBorders>
              <w:bottom w:val="single" w:sz="8" w:color="auto"/>
              <w:right w:val="single" w:sz="8" w:color="231F20"/>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231F20"/>
            </w:tcBorders>
          </w:tcPr>
          <w:p>
            <w:pPr>
              <w:spacing w:after="0"/>
              <w:rPr>
                <w:sz w:val="2"/>
                <w:szCs w:val="2"/>
                <w:color w:val="auto"/>
              </w:rPr>
            </w:pPr>
          </w:p>
        </w:tc>
      </w:tr>
      <w:tr>
        <w:trPr>
          <w:trHeight w:val="259"/>
        </w:trPr>
        <w:tc>
          <w:tcPr>
            <w:tcW w:w="480" w:type="dxa"/>
            <w:vAlign w:val="bottom"/>
            <w:tcBorders>
              <w:left w:val="single" w:sz="8" w:color="231F20"/>
              <w:right w:val="single" w:sz="8" w:color="231F20"/>
            </w:tcBorders>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44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To re-elect Mr. Zhang Duo as a non- executive Director</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2,289,508,523</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6,875,800</w:t>
            </w:r>
          </w:p>
        </w:tc>
        <w:tc>
          <w:tcPr>
            <w:tcW w:w="480" w:type="dxa"/>
            <w:vAlign w:val="bottom"/>
          </w:tcPr>
          <w:p>
            <w:pPr>
              <w:spacing w:after="0"/>
              <w:rPr>
                <w:sz w:val="22"/>
                <w:szCs w:val="22"/>
                <w:color w:val="auto"/>
              </w:rPr>
            </w:pPr>
          </w:p>
        </w:tc>
        <w:tc>
          <w:tcPr>
            <w:tcW w:w="1640" w:type="dxa"/>
            <w:vAlign w:val="bottom"/>
            <w:tcBorders>
              <w:right w:val="single" w:sz="8" w:color="231F20"/>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6"/>
              </w:rPr>
              <w:t>42,735</w:t>
            </w:r>
          </w:p>
        </w:tc>
      </w:tr>
      <w:tr>
        <w:trPr>
          <w:trHeight w:val="234"/>
        </w:trPr>
        <w:tc>
          <w:tcPr>
            <w:tcW w:w="480" w:type="dxa"/>
            <w:vAlign w:val="bottom"/>
            <w:tcBorders>
              <w:left w:val="single" w:sz="8" w:color="231F20"/>
              <w:right w:val="single" w:sz="8" w:color="231F20"/>
            </w:tcBorders>
          </w:tcPr>
          <w:p>
            <w:pPr>
              <w:spacing w:after="0"/>
              <w:rPr>
                <w:sz w:val="20"/>
                <w:szCs w:val="20"/>
                <w:color w:val="auto"/>
              </w:rPr>
            </w:pPr>
          </w:p>
        </w:tc>
        <w:tc>
          <w:tcPr>
            <w:tcW w:w="4400" w:type="dxa"/>
            <w:vAlign w:val="bottom"/>
            <w:tcBorders>
              <w:right w:val="single" w:sz="8" w:color="231F20"/>
            </w:tcBorders>
          </w:tcPr>
          <w:p>
            <w:pPr>
              <w:spacing w:after="0"/>
              <w:rPr>
                <w:sz w:val="20"/>
                <w:szCs w:val="20"/>
                <w:color w:val="auto"/>
              </w:rPr>
            </w:pP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(99.70%)</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(0.30%)</w:t>
            </w:r>
          </w:p>
        </w:tc>
        <w:tc>
          <w:tcPr>
            <w:tcW w:w="480" w:type="dxa"/>
            <w:vAlign w:val="bottom"/>
          </w:tcPr>
          <w:p>
            <w:pPr>
              <w:spacing w:after="0"/>
              <w:rPr>
                <w:sz w:val="20"/>
                <w:szCs w:val="20"/>
                <w:color w:val="auto"/>
              </w:rPr>
            </w:pPr>
          </w:p>
        </w:tc>
        <w:tc>
          <w:tcPr>
            <w:tcW w:w="1640" w:type="dxa"/>
            <w:vAlign w:val="bottom"/>
            <w:tcBorders>
              <w:right w:val="single" w:sz="8" w:color="231F20"/>
            </w:tcBorders>
          </w:tcPr>
          <w:p>
            <w:pPr>
              <w:spacing w:after="0"/>
              <w:rPr>
                <w:sz w:val="20"/>
                <w:szCs w:val="20"/>
                <w:color w:val="auto"/>
              </w:rPr>
            </w:pPr>
          </w:p>
        </w:tc>
      </w:tr>
      <w:tr>
        <w:trPr>
          <w:trHeight w:val="27"/>
        </w:trPr>
        <w:tc>
          <w:tcPr>
            <w:tcW w:w="480" w:type="dxa"/>
            <w:vAlign w:val="bottom"/>
            <w:tcBorders>
              <w:left w:val="single" w:sz="8" w:color="231F20"/>
              <w:bottom w:val="single" w:sz="8" w:color="auto"/>
              <w:right w:val="single" w:sz="8" w:color="231F20"/>
            </w:tcBorders>
          </w:tcPr>
          <w:p>
            <w:pPr>
              <w:spacing w:after="0"/>
              <w:rPr>
                <w:sz w:val="2"/>
                <w:szCs w:val="2"/>
                <w:color w:val="auto"/>
              </w:rPr>
            </w:pPr>
          </w:p>
        </w:tc>
        <w:tc>
          <w:tcPr>
            <w:tcW w:w="4400" w:type="dxa"/>
            <w:vAlign w:val="bottom"/>
            <w:tcBorders>
              <w:bottom w:val="single" w:sz="8" w:color="auto"/>
              <w:right w:val="single" w:sz="8" w:color="231F20"/>
            </w:tcBorders>
          </w:tcPr>
          <w:p>
            <w:pPr>
              <w:spacing w:after="0"/>
              <w:rPr>
                <w:sz w:val="2"/>
                <w:szCs w:val="2"/>
                <w:color w:val="auto"/>
              </w:rPr>
            </w:pPr>
          </w:p>
        </w:tc>
        <w:tc>
          <w:tcPr>
            <w:tcW w:w="2120" w:type="dxa"/>
            <w:vAlign w:val="bottom"/>
            <w:tcBorders>
              <w:bottom w:val="single" w:sz="8" w:color="auto"/>
              <w:right w:val="single" w:sz="8" w:color="231F20"/>
            </w:tcBorders>
          </w:tcPr>
          <w:p>
            <w:pPr>
              <w:spacing w:after="0"/>
              <w:rPr>
                <w:sz w:val="2"/>
                <w:szCs w:val="2"/>
                <w:color w:val="auto"/>
              </w:rPr>
            </w:pPr>
          </w:p>
        </w:tc>
        <w:tc>
          <w:tcPr>
            <w:tcW w:w="2120" w:type="dxa"/>
            <w:vAlign w:val="bottom"/>
            <w:tcBorders>
              <w:bottom w:val="single" w:sz="8" w:color="auto"/>
              <w:right w:val="single" w:sz="8" w:color="231F20"/>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231F20"/>
            </w:tcBorders>
          </w:tcPr>
          <w:p>
            <w:pPr>
              <w:spacing w:after="0"/>
              <w:rPr>
                <w:sz w:val="2"/>
                <w:szCs w:val="2"/>
                <w:color w:val="auto"/>
              </w:rPr>
            </w:pPr>
          </w:p>
        </w:tc>
      </w:tr>
      <w:tr>
        <w:trPr>
          <w:trHeight w:val="259"/>
        </w:trPr>
        <w:tc>
          <w:tcPr>
            <w:tcW w:w="480" w:type="dxa"/>
            <w:vAlign w:val="bottom"/>
            <w:tcBorders>
              <w:left w:val="single" w:sz="8" w:color="231F20"/>
              <w:right w:val="single" w:sz="8" w:color="231F20"/>
            </w:tcBorders>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44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To re-elect Ms. Qu Jingyuan as an independent non-</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2,277,242,819</w:t>
            </w:r>
          </w:p>
        </w:tc>
        <w:tc>
          <w:tcPr>
            <w:tcW w:w="2120" w:type="dxa"/>
            <w:vAlign w:val="bottom"/>
            <w:tcBorders>
              <w:right w:val="single" w:sz="8" w:color="231F20"/>
            </w:tcBorders>
          </w:tcPr>
          <w:p>
            <w:pPr>
              <w:jc w:val="right"/>
              <w:ind w:right="590"/>
              <w:spacing w:after="0"/>
              <w:rPr>
                <w:sz w:val="20"/>
                <w:szCs w:val="20"/>
                <w:color w:val="auto"/>
              </w:rPr>
            </w:pPr>
            <w:r>
              <w:rPr>
                <w:rFonts w:ascii="Times New Roman" w:cs="Times New Roman" w:eastAsia="Times New Roman" w:hAnsi="Times New Roman"/>
                <w:sz w:val="18"/>
                <w:szCs w:val="18"/>
                <w:color w:val="auto"/>
              </w:rPr>
              <w:t>19,143,724</w:t>
            </w:r>
          </w:p>
        </w:tc>
        <w:tc>
          <w:tcPr>
            <w:tcW w:w="480" w:type="dxa"/>
            <w:vAlign w:val="bottom"/>
          </w:tcPr>
          <w:p>
            <w:pPr>
              <w:spacing w:after="0"/>
              <w:rPr>
                <w:sz w:val="22"/>
                <w:szCs w:val="22"/>
                <w:color w:val="auto"/>
              </w:rPr>
            </w:pPr>
          </w:p>
        </w:tc>
        <w:tc>
          <w:tcPr>
            <w:tcW w:w="1640" w:type="dxa"/>
            <w:vAlign w:val="bottom"/>
            <w:tcBorders>
              <w:right w:val="single" w:sz="8" w:color="231F20"/>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6"/>
              </w:rPr>
              <w:t>40,485</w:t>
            </w:r>
          </w:p>
        </w:tc>
      </w:tr>
      <w:tr>
        <w:trPr>
          <w:trHeight w:val="234"/>
        </w:trPr>
        <w:tc>
          <w:tcPr>
            <w:tcW w:w="480" w:type="dxa"/>
            <w:vAlign w:val="bottom"/>
            <w:tcBorders>
              <w:left w:val="single" w:sz="8" w:color="231F20"/>
              <w:right w:val="single" w:sz="8" w:color="231F20"/>
            </w:tcBorders>
          </w:tcPr>
          <w:p>
            <w:pPr>
              <w:spacing w:after="0"/>
              <w:rPr>
                <w:sz w:val="20"/>
                <w:szCs w:val="20"/>
                <w:color w:val="auto"/>
              </w:rPr>
            </w:pPr>
          </w:p>
        </w:tc>
        <w:tc>
          <w:tcPr>
            <w:tcW w:w="44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executive Director.</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(99.17%)</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(0.83%)</w:t>
            </w:r>
          </w:p>
        </w:tc>
        <w:tc>
          <w:tcPr>
            <w:tcW w:w="480" w:type="dxa"/>
            <w:vAlign w:val="bottom"/>
          </w:tcPr>
          <w:p>
            <w:pPr>
              <w:spacing w:after="0"/>
              <w:rPr>
                <w:sz w:val="20"/>
                <w:szCs w:val="20"/>
                <w:color w:val="auto"/>
              </w:rPr>
            </w:pPr>
          </w:p>
        </w:tc>
        <w:tc>
          <w:tcPr>
            <w:tcW w:w="1640" w:type="dxa"/>
            <w:vAlign w:val="bottom"/>
            <w:tcBorders>
              <w:right w:val="single" w:sz="8" w:color="231F20"/>
            </w:tcBorders>
          </w:tcPr>
          <w:p>
            <w:pPr>
              <w:spacing w:after="0"/>
              <w:rPr>
                <w:sz w:val="20"/>
                <w:szCs w:val="20"/>
                <w:color w:val="auto"/>
              </w:rPr>
            </w:pPr>
          </w:p>
        </w:tc>
      </w:tr>
      <w:tr>
        <w:trPr>
          <w:trHeight w:val="27"/>
        </w:trPr>
        <w:tc>
          <w:tcPr>
            <w:tcW w:w="480" w:type="dxa"/>
            <w:vAlign w:val="bottom"/>
            <w:tcBorders>
              <w:left w:val="single" w:sz="8" w:color="231F20"/>
              <w:bottom w:val="single" w:sz="8" w:color="auto"/>
              <w:right w:val="single" w:sz="8" w:color="231F20"/>
            </w:tcBorders>
          </w:tcPr>
          <w:p>
            <w:pPr>
              <w:spacing w:after="0"/>
              <w:rPr>
                <w:sz w:val="2"/>
                <w:szCs w:val="2"/>
                <w:color w:val="auto"/>
              </w:rPr>
            </w:pPr>
          </w:p>
        </w:tc>
        <w:tc>
          <w:tcPr>
            <w:tcW w:w="4400" w:type="dxa"/>
            <w:vAlign w:val="bottom"/>
            <w:tcBorders>
              <w:bottom w:val="single" w:sz="8" w:color="auto"/>
              <w:right w:val="single" w:sz="8" w:color="231F20"/>
            </w:tcBorders>
          </w:tcPr>
          <w:p>
            <w:pPr>
              <w:spacing w:after="0"/>
              <w:rPr>
                <w:sz w:val="2"/>
                <w:szCs w:val="2"/>
                <w:color w:val="auto"/>
              </w:rPr>
            </w:pPr>
          </w:p>
        </w:tc>
        <w:tc>
          <w:tcPr>
            <w:tcW w:w="2120" w:type="dxa"/>
            <w:vAlign w:val="bottom"/>
            <w:tcBorders>
              <w:bottom w:val="single" w:sz="8" w:color="auto"/>
              <w:right w:val="single" w:sz="8" w:color="231F20"/>
            </w:tcBorders>
          </w:tcPr>
          <w:p>
            <w:pPr>
              <w:spacing w:after="0"/>
              <w:rPr>
                <w:sz w:val="2"/>
                <w:szCs w:val="2"/>
                <w:color w:val="auto"/>
              </w:rPr>
            </w:pPr>
          </w:p>
        </w:tc>
        <w:tc>
          <w:tcPr>
            <w:tcW w:w="2120" w:type="dxa"/>
            <w:vAlign w:val="bottom"/>
            <w:tcBorders>
              <w:bottom w:val="single" w:sz="8" w:color="auto"/>
              <w:right w:val="single" w:sz="8" w:color="231F20"/>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231F20"/>
            </w:tcBorders>
          </w:tcPr>
          <w:p>
            <w:pPr>
              <w:spacing w:after="0"/>
              <w:rPr>
                <w:sz w:val="2"/>
                <w:szCs w:val="2"/>
                <w:color w:val="auto"/>
              </w:rPr>
            </w:pPr>
          </w:p>
        </w:tc>
      </w:tr>
      <w:tr>
        <w:trPr>
          <w:trHeight w:val="669"/>
        </w:trPr>
        <w:tc>
          <w:tcPr>
            <w:tcW w:w="4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1</w:t>
            </w:r>
          </w:p>
        </w:tc>
        <w:tc>
          <w:tcPr>
            <w:tcW w:w="2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80" w:type="dxa"/>
            <w:vAlign w:val="bottom"/>
            <w:tcBorders>
              <w:top w:val="single" w:sz="8" w:color="231F20"/>
              <w:left w:val="single" w:sz="8" w:color="231F20"/>
            </w:tcBorders>
          </w:tcPr>
          <w:p>
            <w:pPr>
              <w:spacing w:after="0"/>
              <w:rPr>
                <w:sz w:val="23"/>
                <w:szCs w:val="23"/>
                <w:color w:val="auto"/>
              </w:rPr>
            </w:pPr>
          </w:p>
        </w:tc>
        <w:tc>
          <w:tcPr>
            <w:tcW w:w="4400" w:type="dxa"/>
            <w:vAlign w:val="bottom"/>
            <w:tcBorders>
              <w:top w:val="single" w:sz="8" w:color="231F20"/>
              <w:right w:val="single" w:sz="8" w:color="231F20"/>
            </w:tcBorders>
          </w:tcPr>
          <w:p>
            <w:pPr>
              <w:spacing w:after="0"/>
              <w:rPr>
                <w:sz w:val="23"/>
                <w:szCs w:val="23"/>
                <w:color w:val="auto"/>
              </w:rPr>
            </w:pPr>
          </w:p>
        </w:tc>
        <w:tc>
          <w:tcPr>
            <w:tcW w:w="2120" w:type="dxa"/>
            <w:vAlign w:val="bottom"/>
            <w:tcBorders>
              <w:top w:val="single" w:sz="8" w:color="231F20"/>
            </w:tcBorders>
          </w:tcPr>
          <w:p>
            <w:pPr>
              <w:spacing w:after="0"/>
              <w:rPr>
                <w:sz w:val="23"/>
                <w:szCs w:val="23"/>
                <w:color w:val="auto"/>
              </w:rPr>
            </w:pPr>
          </w:p>
        </w:tc>
        <w:tc>
          <w:tcPr>
            <w:tcW w:w="2600" w:type="dxa"/>
            <w:vAlign w:val="bottom"/>
            <w:tcBorders>
              <w:top w:val="single" w:sz="8" w:color="231F20"/>
            </w:tcBorders>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NUMBER OF VOTES CAST</w:t>
            </w:r>
          </w:p>
        </w:tc>
        <w:tc>
          <w:tcPr>
            <w:tcW w:w="1640" w:type="dxa"/>
            <w:vAlign w:val="bottom"/>
            <w:tcBorders>
              <w:top w:val="single" w:sz="8" w:color="231F20"/>
              <w:right w:val="single" w:sz="8" w:color="231F20"/>
            </w:tcBorders>
          </w:tcPr>
          <w:p>
            <w:pPr>
              <w:spacing w:after="0"/>
              <w:rPr>
                <w:sz w:val="23"/>
                <w:szCs w:val="23"/>
                <w:color w:val="auto"/>
              </w:rPr>
            </w:pPr>
          </w:p>
        </w:tc>
      </w:tr>
      <w:tr>
        <w:trPr>
          <w:trHeight w:val="238"/>
        </w:trPr>
        <w:tc>
          <w:tcPr>
            <w:tcW w:w="480" w:type="dxa"/>
            <w:vAlign w:val="bottom"/>
            <w:tcBorders>
              <w:left w:val="single" w:sz="8" w:color="231F20"/>
            </w:tcBorders>
          </w:tcPr>
          <w:p>
            <w:pPr>
              <w:spacing w:after="0"/>
              <w:rPr>
                <w:sz w:val="20"/>
                <w:szCs w:val="20"/>
                <w:color w:val="auto"/>
              </w:rPr>
            </w:pPr>
          </w:p>
        </w:tc>
        <w:tc>
          <w:tcPr>
            <w:tcW w:w="4400" w:type="dxa"/>
            <w:vAlign w:val="bottom"/>
            <w:tcBorders>
              <w:right w:val="single" w:sz="8" w:color="231F20"/>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ORDINARY RESOLUTIONS</w:t>
            </w:r>
          </w:p>
        </w:tc>
        <w:tc>
          <w:tcPr>
            <w:tcW w:w="2120" w:type="dxa"/>
            <w:vAlign w:val="bottom"/>
            <w:tcBorders>
              <w:bottom w:val="single" w:sz="8" w:color="231F20"/>
            </w:tcBorders>
          </w:tcPr>
          <w:p>
            <w:pPr>
              <w:spacing w:after="0"/>
              <w:rPr>
                <w:sz w:val="20"/>
                <w:szCs w:val="20"/>
                <w:color w:val="auto"/>
              </w:rPr>
            </w:pPr>
          </w:p>
        </w:tc>
        <w:tc>
          <w:tcPr>
            <w:tcW w:w="2600" w:type="dxa"/>
            <w:vAlign w:val="bottom"/>
            <w:tcBorders>
              <w:bottom w:val="single" w:sz="8" w:color="231F20"/>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AND PERCENTAGE (%)</w:t>
            </w:r>
          </w:p>
        </w:tc>
        <w:tc>
          <w:tcPr>
            <w:tcW w:w="1640" w:type="dxa"/>
            <w:vAlign w:val="bottom"/>
            <w:tcBorders>
              <w:bottom w:val="single" w:sz="8" w:color="231F20"/>
              <w:right w:val="single" w:sz="8" w:color="231F20"/>
            </w:tcBorders>
          </w:tcPr>
          <w:p>
            <w:pPr>
              <w:spacing w:after="0"/>
              <w:rPr>
                <w:sz w:val="20"/>
                <w:szCs w:val="20"/>
                <w:color w:val="auto"/>
              </w:rPr>
            </w:pPr>
          </w:p>
        </w:tc>
      </w:tr>
      <w:tr>
        <w:trPr>
          <w:trHeight w:val="277"/>
        </w:trPr>
        <w:tc>
          <w:tcPr>
            <w:tcW w:w="480" w:type="dxa"/>
            <w:vAlign w:val="bottom"/>
            <w:tcBorders>
              <w:left w:val="single" w:sz="8" w:color="231F20"/>
              <w:bottom w:val="single" w:sz="8" w:color="231F20"/>
            </w:tcBorders>
          </w:tcPr>
          <w:p>
            <w:pPr>
              <w:spacing w:after="0"/>
              <w:rPr>
                <w:sz w:val="24"/>
                <w:szCs w:val="24"/>
                <w:color w:val="auto"/>
              </w:rPr>
            </w:pPr>
          </w:p>
        </w:tc>
        <w:tc>
          <w:tcPr>
            <w:tcW w:w="4400" w:type="dxa"/>
            <w:vAlign w:val="bottom"/>
            <w:tcBorders>
              <w:bottom w:val="single" w:sz="8" w:color="231F20"/>
              <w:right w:val="single" w:sz="8" w:color="231F20"/>
            </w:tcBorders>
          </w:tcPr>
          <w:p>
            <w:pPr>
              <w:spacing w:after="0"/>
              <w:rPr>
                <w:sz w:val="24"/>
                <w:szCs w:val="24"/>
                <w:color w:val="auto"/>
              </w:rPr>
            </w:pPr>
          </w:p>
        </w:tc>
        <w:tc>
          <w:tcPr>
            <w:tcW w:w="21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480" w:type="dxa"/>
            <w:vAlign w:val="bottom"/>
            <w:tcBorders>
              <w:bottom w:val="single" w:sz="8" w:color="231F20"/>
            </w:tcBorders>
          </w:tcPr>
          <w:p>
            <w:pPr>
              <w:spacing w:after="0"/>
              <w:rPr>
                <w:sz w:val="24"/>
                <w:szCs w:val="24"/>
                <w:color w:val="auto"/>
              </w:rPr>
            </w:pPr>
          </w:p>
        </w:tc>
        <w:tc>
          <w:tcPr>
            <w:tcW w:w="1640" w:type="dxa"/>
            <w:vAlign w:val="bottom"/>
            <w:tcBorders>
              <w:bottom w:val="single" w:sz="8" w:color="231F20"/>
              <w:right w:val="single" w:sz="8" w:color="231F20"/>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59"/>
        </w:trPr>
        <w:tc>
          <w:tcPr>
            <w:tcW w:w="480" w:type="dxa"/>
            <w:vAlign w:val="bottom"/>
            <w:tcBorders>
              <w:left w:val="single" w:sz="8" w:color="231F20"/>
              <w:right w:val="single" w:sz="8" w:color="231F20"/>
            </w:tcBorders>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44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To authorize the Board to fix the remuneration of the</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2,293,818,018</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2,562,525</w:t>
            </w:r>
          </w:p>
        </w:tc>
        <w:tc>
          <w:tcPr>
            <w:tcW w:w="480" w:type="dxa"/>
            <w:vAlign w:val="bottom"/>
          </w:tcPr>
          <w:p>
            <w:pPr>
              <w:spacing w:after="0"/>
              <w:rPr>
                <w:sz w:val="22"/>
                <w:szCs w:val="22"/>
                <w:color w:val="auto"/>
              </w:rPr>
            </w:pPr>
          </w:p>
        </w:tc>
        <w:tc>
          <w:tcPr>
            <w:tcW w:w="1640" w:type="dxa"/>
            <w:vAlign w:val="bottom"/>
            <w:tcBorders>
              <w:right w:val="single" w:sz="8" w:color="231F20"/>
            </w:tcBorders>
          </w:tcPr>
          <w:p>
            <w:pPr>
              <w:jc w:val="right"/>
              <w:ind w:right="770"/>
              <w:spacing w:after="0"/>
              <w:rPr>
                <w:sz w:val="20"/>
                <w:szCs w:val="20"/>
                <w:color w:val="auto"/>
              </w:rPr>
            </w:pPr>
            <w:r>
              <w:rPr>
                <w:rFonts w:ascii="Times New Roman" w:cs="Times New Roman" w:eastAsia="Times New Roman" w:hAnsi="Times New Roman"/>
                <w:sz w:val="18"/>
                <w:szCs w:val="18"/>
                <w:color w:val="auto"/>
              </w:rPr>
              <w:t>48,105</w:t>
            </w:r>
          </w:p>
        </w:tc>
      </w:tr>
      <w:tr>
        <w:trPr>
          <w:trHeight w:val="234"/>
        </w:trPr>
        <w:tc>
          <w:tcPr>
            <w:tcW w:w="480" w:type="dxa"/>
            <w:vAlign w:val="bottom"/>
            <w:tcBorders>
              <w:left w:val="single" w:sz="8" w:color="231F20"/>
              <w:right w:val="single" w:sz="8" w:color="231F20"/>
            </w:tcBorders>
          </w:tcPr>
          <w:p>
            <w:pPr>
              <w:spacing w:after="0"/>
              <w:rPr>
                <w:sz w:val="20"/>
                <w:szCs w:val="20"/>
                <w:color w:val="auto"/>
              </w:rPr>
            </w:pPr>
          </w:p>
        </w:tc>
        <w:tc>
          <w:tcPr>
            <w:tcW w:w="44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Directors.</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(99.89%)</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(0.11%)</w:t>
            </w:r>
          </w:p>
        </w:tc>
        <w:tc>
          <w:tcPr>
            <w:tcW w:w="480" w:type="dxa"/>
            <w:vAlign w:val="bottom"/>
          </w:tcPr>
          <w:p>
            <w:pPr>
              <w:spacing w:after="0"/>
              <w:rPr>
                <w:sz w:val="20"/>
                <w:szCs w:val="20"/>
                <w:color w:val="auto"/>
              </w:rPr>
            </w:pPr>
          </w:p>
        </w:tc>
        <w:tc>
          <w:tcPr>
            <w:tcW w:w="1640" w:type="dxa"/>
            <w:vAlign w:val="bottom"/>
            <w:tcBorders>
              <w:right w:val="single" w:sz="8" w:color="231F20"/>
            </w:tcBorders>
          </w:tcPr>
          <w:p>
            <w:pPr>
              <w:spacing w:after="0"/>
              <w:rPr>
                <w:sz w:val="20"/>
                <w:szCs w:val="20"/>
                <w:color w:val="auto"/>
              </w:rPr>
            </w:pPr>
          </w:p>
        </w:tc>
      </w:tr>
      <w:tr>
        <w:trPr>
          <w:trHeight w:val="27"/>
        </w:trPr>
        <w:tc>
          <w:tcPr>
            <w:tcW w:w="480" w:type="dxa"/>
            <w:vAlign w:val="bottom"/>
            <w:tcBorders>
              <w:left w:val="single" w:sz="8" w:color="231F20"/>
              <w:bottom w:val="single" w:sz="8" w:color="auto"/>
              <w:right w:val="single" w:sz="8" w:color="231F20"/>
            </w:tcBorders>
          </w:tcPr>
          <w:p>
            <w:pPr>
              <w:spacing w:after="0"/>
              <w:rPr>
                <w:sz w:val="2"/>
                <w:szCs w:val="2"/>
                <w:color w:val="auto"/>
              </w:rPr>
            </w:pPr>
          </w:p>
        </w:tc>
        <w:tc>
          <w:tcPr>
            <w:tcW w:w="4400" w:type="dxa"/>
            <w:vAlign w:val="bottom"/>
            <w:tcBorders>
              <w:bottom w:val="single" w:sz="8" w:color="auto"/>
              <w:right w:val="single" w:sz="8" w:color="231F20"/>
            </w:tcBorders>
          </w:tcPr>
          <w:p>
            <w:pPr>
              <w:spacing w:after="0"/>
              <w:rPr>
                <w:sz w:val="2"/>
                <w:szCs w:val="2"/>
                <w:color w:val="auto"/>
              </w:rPr>
            </w:pPr>
          </w:p>
        </w:tc>
        <w:tc>
          <w:tcPr>
            <w:tcW w:w="2120" w:type="dxa"/>
            <w:vAlign w:val="bottom"/>
            <w:tcBorders>
              <w:bottom w:val="single" w:sz="8" w:color="auto"/>
              <w:right w:val="single" w:sz="8" w:color="231F20"/>
            </w:tcBorders>
          </w:tcPr>
          <w:p>
            <w:pPr>
              <w:spacing w:after="0"/>
              <w:rPr>
                <w:sz w:val="2"/>
                <w:szCs w:val="2"/>
                <w:color w:val="auto"/>
              </w:rPr>
            </w:pPr>
          </w:p>
        </w:tc>
        <w:tc>
          <w:tcPr>
            <w:tcW w:w="2120" w:type="dxa"/>
            <w:vAlign w:val="bottom"/>
            <w:tcBorders>
              <w:bottom w:val="single" w:sz="8" w:color="auto"/>
              <w:right w:val="single" w:sz="8" w:color="231F20"/>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231F20"/>
            </w:tcBorders>
          </w:tcPr>
          <w:p>
            <w:pPr>
              <w:spacing w:after="0"/>
              <w:rPr>
                <w:sz w:val="2"/>
                <w:szCs w:val="2"/>
                <w:color w:val="auto"/>
              </w:rPr>
            </w:pPr>
          </w:p>
        </w:tc>
      </w:tr>
      <w:tr>
        <w:trPr>
          <w:trHeight w:val="259"/>
        </w:trPr>
        <w:tc>
          <w:tcPr>
            <w:tcW w:w="480" w:type="dxa"/>
            <w:vAlign w:val="bottom"/>
            <w:tcBorders>
              <w:left w:val="single" w:sz="8" w:color="231F20"/>
              <w:right w:val="single" w:sz="8" w:color="231F20"/>
            </w:tcBorders>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44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To re-appoint Ernst &amp; Young as auditor of the Company</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2,291,243,413</w:t>
            </w:r>
          </w:p>
        </w:tc>
        <w:tc>
          <w:tcPr>
            <w:tcW w:w="2120" w:type="dxa"/>
            <w:vAlign w:val="bottom"/>
            <w:tcBorders>
              <w:right w:val="single" w:sz="8" w:color="231F20"/>
            </w:tcBorders>
          </w:tcPr>
          <w:p>
            <w:pPr>
              <w:jc w:val="right"/>
              <w:ind w:right="630"/>
              <w:spacing w:after="0"/>
              <w:rPr>
                <w:sz w:val="20"/>
                <w:szCs w:val="20"/>
                <w:color w:val="auto"/>
              </w:rPr>
            </w:pPr>
            <w:r>
              <w:rPr>
                <w:rFonts w:ascii="Times New Roman" w:cs="Times New Roman" w:eastAsia="Times New Roman" w:hAnsi="Times New Roman"/>
                <w:sz w:val="18"/>
                <w:szCs w:val="18"/>
                <w:color w:val="auto"/>
              </w:rPr>
              <w:t>5,157,755</w:t>
            </w:r>
          </w:p>
        </w:tc>
        <w:tc>
          <w:tcPr>
            <w:tcW w:w="480" w:type="dxa"/>
            <w:vAlign w:val="bottom"/>
          </w:tcPr>
          <w:p>
            <w:pPr>
              <w:spacing w:after="0"/>
              <w:rPr>
                <w:sz w:val="22"/>
                <w:szCs w:val="22"/>
                <w:color w:val="auto"/>
              </w:rPr>
            </w:pPr>
          </w:p>
        </w:tc>
        <w:tc>
          <w:tcPr>
            <w:tcW w:w="1640" w:type="dxa"/>
            <w:vAlign w:val="bottom"/>
            <w:tcBorders>
              <w:right w:val="single" w:sz="8" w:color="231F20"/>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6"/>
              </w:rPr>
              <w:t>26,910</w:t>
            </w:r>
          </w:p>
        </w:tc>
      </w:tr>
      <w:tr>
        <w:trPr>
          <w:trHeight w:val="216"/>
        </w:trPr>
        <w:tc>
          <w:tcPr>
            <w:tcW w:w="480" w:type="dxa"/>
            <w:vAlign w:val="bottom"/>
            <w:tcBorders>
              <w:left w:val="single" w:sz="8" w:color="231F20"/>
              <w:right w:val="single" w:sz="8" w:color="231F20"/>
            </w:tcBorders>
          </w:tcPr>
          <w:p>
            <w:pPr>
              <w:spacing w:after="0"/>
              <w:rPr>
                <w:sz w:val="18"/>
                <w:szCs w:val="18"/>
                <w:color w:val="auto"/>
              </w:rPr>
            </w:pPr>
          </w:p>
        </w:tc>
        <w:tc>
          <w:tcPr>
            <w:tcW w:w="44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to hold office until the conclusion of the next annual</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(99.78%)</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(0.22%)</w:t>
            </w: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r>
      <w:tr>
        <w:trPr>
          <w:trHeight w:val="216"/>
        </w:trPr>
        <w:tc>
          <w:tcPr>
            <w:tcW w:w="480" w:type="dxa"/>
            <w:vAlign w:val="bottom"/>
            <w:tcBorders>
              <w:left w:val="single" w:sz="8" w:color="231F20"/>
              <w:right w:val="single" w:sz="8" w:color="231F20"/>
            </w:tcBorders>
          </w:tcPr>
          <w:p>
            <w:pPr>
              <w:spacing w:after="0"/>
              <w:rPr>
                <w:sz w:val="18"/>
                <w:szCs w:val="18"/>
                <w:color w:val="auto"/>
              </w:rPr>
            </w:pPr>
          </w:p>
        </w:tc>
        <w:tc>
          <w:tcPr>
            <w:tcW w:w="44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general meeting of the Company and to authorize the</w:t>
            </w:r>
          </w:p>
        </w:tc>
        <w:tc>
          <w:tcPr>
            <w:tcW w:w="212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r>
      <w:tr>
        <w:trPr>
          <w:trHeight w:val="216"/>
        </w:trPr>
        <w:tc>
          <w:tcPr>
            <w:tcW w:w="480" w:type="dxa"/>
            <w:vAlign w:val="bottom"/>
            <w:tcBorders>
              <w:left w:val="single" w:sz="8" w:color="231F20"/>
              <w:right w:val="single" w:sz="8" w:color="231F20"/>
            </w:tcBorders>
          </w:tcPr>
          <w:p>
            <w:pPr>
              <w:spacing w:after="0"/>
              <w:rPr>
                <w:sz w:val="18"/>
                <w:szCs w:val="18"/>
                <w:color w:val="auto"/>
              </w:rPr>
            </w:pPr>
          </w:p>
        </w:tc>
        <w:tc>
          <w:tcPr>
            <w:tcW w:w="44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audit committee of the Board to fix their remuneration for</w:t>
            </w:r>
          </w:p>
        </w:tc>
        <w:tc>
          <w:tcPr>
            <w:tcW w:w="212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r>
      <w:tr>
        <w:trPr>
          <w:trHeight w:val="234"/>
        </w:trPr>
        <w:tc>
          <w:tcPr>
            <w:tcW w:w="480" w:type="dxa"/>
            <w:vAlign w:val="bottom"/>
            <w:tcBorders>
              <w:left w:val="single" w:sz="8" w:color="231F20"/>
              <w:right w:val="single" w:sz="8" w:color="231F20"/>
            </w:tcBorders>
          </w:tcPr>
          <w:p>
            <w:pPr>
              <w:spacing w:after="0"/>
              <w:rPr>
                <w:sz w:val="20"/>
                <w:szCs w:val="20"/>
                <w:color w:val="auto"/>
              </w:rPr>
            </w:pPr>
          </w:p>
        </w:tc>
        <w:tc>
          <w:tcPr>
            <w:tcW w:w="44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the year ending December 31, 2026.</w:t>
            </w:r>
          </w:p>
        </w:tc>
        <w:tc>
          <w:tcPr>
            <w:tcW w:w="2120" w:type="dxa"/>
            <w:vAlign w:val="bottom"/>
            <w:tcBorders>
              <w:right w:val="single" w:sz="8" w:color="231F20"/>
            </w:tcBorders>
          </w:tcPr>
          <w:p>
            <w:pPr>
              <w:spacing w:after="0"/>
              <w:rPr>
                <w:sz w:val="20"/>
                <w:szCs w:val="20"/>
                <w:color w:val="auto"/>
              </w:rPr>
            </w:pPr>
          </w:p>
        </w:tc>
        <w:tc>
          <w:tcPr>
            <w:tcW w:w="2120" w:type="dxa"/>
            <w:vAlign w:val="bottom"/>
            <w:tcBorders>
              <w:right w:val="single" w:sz="8" w:color="231F20"/>
            </w:tcBorders>
          </w:tcPr>
          <w:p>
            <w:pPr>
              <w:spacing w:after="0"/>
              <w:rPr>
                <w:sz w:val="20"/>
                <w:szCs w:val="20"/>
                <w:color w:val="auto"/>
              </w:rPr>
            </w:pPr>
          </w:p>
        </w:tc>
        <w:tc>
          <w:tcPr>
            <w:tcW w:w="480" w:type="dxa"/>
            <w:vAlign w:val="bottom"/>
          </w:tcPr>
          <w:p>
            <w:pPr>
              <w:spacing w:after="0"/>
              <w:rPr>
                <w:sz w:val="20"/>
                <w:szCs w:val="20"/>
                <w:color w:val="auto"/>
              </w:rPr>
            </w:pPr>
          </w:p>
        </w:tc>
        <w:tc>
          <w:tcPr>
            <w:tcW w:w="1640" w:type="dxa"/>
            <w:vAlign w:val="bottom"/>
            <w:tcBorders>
              <w:right w:val="single" w:sz="8" w:color="231F20"/>
            </w:tcBorders>
          </w:tcPr>
          <w:p>
            <w:pPr>
              <w:spacing w:after="0"/>
              <w:rPr>
                <w:sz w:val="20"/>
                <w:szCs w:val="20"/>
                <w:color w:val="auto"/>
              </w:rPr>
            </w:pPr>
          </w:p>
        </w:tc>
      </w:tr>
      <w:tr>
        <w:trPr>
          <w:trHeight w:val="27"/>
        </w:trPr>
        <w:tc>
          <w:tcPr>
            <w:tcW w:w="480" w:type="dxa"/>
            <w:vAlign w:val="bottom"/>
            <w:tcBorders>
              <w:left w:val="single" w:sz="8" w:color="231F20"/>
              <w:bottom w:val="single" w:sz="8" w:color="auto"/>
              <w:right w:val="single" w:sz="8" w:color="231F20"/>
            </w:tcBorders>
          </w:tcPr>
          <w:p>
            <w:pPr>
              <w:spacing w:after="0"/>
              <w:rPr>
                <w:sz w:val="2"/>
                <w:szCs w:val="2"/>
                <w:color w:val="auto"/>
              </w:rPr>
            </w:pPr>
          </w:p>
        </w:tc>
        <w:tc>
          <w:tcPr>
            <w:tcW w:w="4400" w:type="dxa"/>
            <w:vAlign w:val="bottom"/>
            <w:tcBorders>
              <w:bottom w:val="single" w:sz="8" w:color="auto"/>
              <w:right w:val="single" w:sz="8" w:color="231F20"/>
            </w:tcBorders>
          </w:tcPr>
          <w:p>
            <w:pPr>
              <w:spacing w:after="0"/>
              <w:rPr>
                <w:sz w:val="2"/>
                <w:szCs w:val="2"/>
                <w:color w:val="auto"/>
              </w:rPr>
            </w:pPr>
          </w:p>
        </w:tc>
        <w:tc>
          <w:tcPr>
            <w:tcW w:w="2120" w:type="dxa"/>
            <w:vAlign w:val="bottom"/>
            <w:tcBorders>
              <w:bottom w:val="single" w:sz="8" w:color="auto"/>
              <w:right w:val="single" w:sz="8" w:color="231F20"/>
            </w:tcBorders>
          </w:tcPr>
          <w:p>
            <w:pPr>
              <w:spacing w:after="0"/>
              <w:rPr>
                <w:sz w:val="2"/>
                <w:szCs w:val="2"/>
                <w:color w:val="auto"/>
              </w:rPr>
            </w:pPr>
          </w:p>
        </w:tc>
        <w:tc>
          <w:tcPr>
            <w:tcW w:w="2120" w:type="dxa"/>
            <w:vAlign w:val="bottom"/>
            <w:tcBorders>
              <w:bottom w:val="single" w:sz="8" w:color="auto"/>
              <w:right w:val="single" w:sz="8" w:color="231F20"/>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231F20"/>
            </w:tcBorders>
          </w:tcPr>
          <w:p>
            <w:pPr>
              <w:spacing w:after="0"/>
              <w:rPr>
                <w:sz w:val="2"/>
                <w:szCs w:val="2"/>
                <w:color w:val="auto"/>
              </w:rPr>
            </w:pPr>
          </w:p>
        </w:tc>
      </w:tr>
      <w:tr>
        <w:trPr>
          <w:trHeight w:val="259"/>
        </w:trPr>
        <w:tc>
          <w:tcPr>
            <w:tcW w:w="480" w:type="dxa"/>
            <w:vAlign w:val="bottom"/>
            <w:tcBorders>
              <w:left w:val="single" w:sz="8" w:color="231F20"/>
              <w:right w:val="single" w:sz="8" w:color="231F20"/>
            </w:tcBorders>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44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To give a general mandate to the Directors to issue, allot</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2,165,439,958</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130,933,730</w:t>
            </w:r>
          </w:p>
        </w:tc>
        <w:tc>
          <w:tcPr>
            <w:tcW w:w="480" w:type="dxa"/>
            <w:vAlign w:val="bottom"/>
          </w:tcPr>
          <w:p>
            <w:pPr>
              <w:spacing w:after="0"/>
              <w:rPr>
                <w:sz w:val="22"/>
                <w:szCs w:val="22"/>
                <w:color w:val="auto"/>
              </w:rPr>
            </w:pPr>
          </w:p>
        </w:tc>
        <w:tc>
          <w:tcPr>
            <w:tcW w:w="1640" w:type="dxa"/>
            <w:vAlign w:val="bottom"/>
            <w:tcBorders>
              <w:right w:val="single" w:sz="8" w:color="231F20"/>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6"/>
              </w:rPr>
              <w:t>45,900</w:t>
            </w:r>
          </w:p>
        </w:tc>
      </w:tr>
      <w:tr>
        <w:trPr>
          <w:trHeight w:val="216"/>
        </w:trPr>
        <w:tc>
          <w:tcPr>
            <w:tcW w:w="480" w:type="dxa"/>
            <w:vAlign w:val="bottom"/>
            <w:tcBorders>
              <w:left w:val="single" w:sz="8" w:color="231F20"/>
              <w:right w:val="single" w:sz="8" w:color="231F20"/>
            </w:tcBorders>
          </w:tcPr>
          <w:p>
            <w:pPr>
              <w:spacing w:after="0"/>
              <w:rPr>
                <w:sz w:val="18"/>
                <w:szCs w:val="18"/>
                <w:color w:val="auto"/>
              </w:rPr>
            </w:pPr>
          </w:p>
        </w:tc>
        <w:tc>
          <w:tcPr>
            <w:tcW w:w="44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and deal with additional Shares and/or ADSs, and/ or sell</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(94.30%)</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(5.70%)</w:t>
            </w: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r>
      <w:tr>
        <w:trPr>
          <w:trHeight w:val="216"/>
        </w:trPr>
        <w:tc>
          <w:tcPr>
            <w:tcW w:w="480" w:type="dxa"/>
            <w:vAlign w:val="bottom"/>
            <w:tcBorders>
              <w:left w:val="single" w:sz="8" w:color="231F20"/>
              <w:right w:val="single" w:sz="8" w:color="231F20"/>
            </w:tcBorders>
          </w:tcPr>
          <w:p>
            <w:pPr>
              <w:spacing w:after="0"/>
              <w:rPr>
                <w:sz w:val="18"/>
                <w:szCs w:val="18"/>
                <w:color w:val="auto"/>
              </w:rPr>
            </w:pPr>
          </w:p>
        </w:tc>
        <w:tc>
          <w:tcPr>
            <w:tcW w:w="44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and/or transfer Shares out of treasury that are held as</w:t>
            </w:r>
          </w:p>
        </w:tc>
        <w:tc>
          <w:tcPr>
            <w:tcW w:w="212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r>
      <w:tr>
        <w:trPr>
          <w:trHeight w:val="216"/>
        </w:trPr>
        <w:tc>
          <w:tcPr>
            <w:tcW w:w="480" w:type="dxa"/>
            <w:vAlign w:val="bottom"/>
            <w:tcBorders>
              <w:left w:val="single" w:sz="8" w:color="231F20"/>
              <w:right w:val="single" w:sz="8" w:color="231F20"/>
            </w:tcBorders>
          </w:tcPr>
          <w:p>
            <w:pPr>
              <w:spacing w:after="0"/>
              <w:rPr>
                <w:sz w:val="18"/>
                <w:szCs w:val="18"/>
                <w:color w:val="auto"/>
              </w:rPr>
            </w:pPr>
          </w:p>
        </w:tc>
        <w:tc>
          <w:tcPr>
            <w:tcW w:w="44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treasury shares not exceeding 20% of the total number of</w:t>
            </w:r>
          </w:p>
        </w:tc>
        <w:tc>
          <w:tcPr>
            <w:tcW w:w="212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r>
      <w:tr>
        <w:trPr>
          <w:trHeight w:val="212"/>
        </w:trPr>
        <w:tc>
          <w:tcPr>
            <w:tcW w:w="480" w:type="dxa"/>
            <w:vAlign w:val="bottom"/>
            <w:tcBorders>
              <w:left w:val="single" w:sz="8" w:color="231F20"/>
              <w:right w:val="single" w:sz="8" w:color="231F20"/>
            </w:tcBorders>
          </w:tcPr>
          <w:p>
            <w:pPr>
              <w:spacing w:after="0"/>
              <w:rPr>
                <w:sz w:val="18"/>
                <w:szCs w:val="18"/>
                <w:color w:val="auto"/>
              </w:rPr>
            </w:pPr>
          </w:p>
        </w:tc>
        <w:tc>
          <w:tcPr>
            <w:tcW w:w="44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issued Shares (excluding any treasury shares, if any) as at</w:t>
            </w:r>
          </w:p>
        </w:tc>
        <w:tc>
          <w:tcPr>
            <w:tcW w:w="212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r>
      <w:tr>
        <w:trPr>
          <w:trHeight w:val="216"/>
        </w:trPr>
        <w:tc>
          <w:tcPr>
            <w:tcW w:w="480" w:type="dxa"/>
            <w:vAlign w:val="bottom"/>
            <w:tcBorders>
              <w:left w:val="single" w:sz="8" w:color="231F20"/>
              <w:right w:val="single" w:sz="8" w:color="231F20"/>
            </w:tcBorders>
          </w:tcPr>
          <w:p>
            <w:pPr>
              <w:spacing w:after="0"/>
              <w:rPr>
                <w:sz w:val="18"/>
                <w:szCs w:val="18"/>
                <w:color w:val="auto"/>
              </w:rPr>
            </w:pPr>
          </w:p>
        </w:tc>
        <w:tc>
          <w:tcPr>
            <w:tcW w:w="44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the date of passing this resolution (the “</w:t>
            </w:r>
            <w:r>
              <w:rPr>
                <w:rFonts w:ascii="Times New Roman" w:cs="Times New Roman" w:eastAsia="Times New Roman" w:hAnsi="Times New Roman"/>
                <w:sz w:val="18"/>
                <w:szCs w:val="18"/>
                <w:b w:val="1"/>
                <w:bCs w:val="1"/>
                <w:color w:val="auto"/>
              </w:rPr>
              <w:t>Issuance and</w:t>
            </w:r>
          </w:p>
        </w:tc>
        <w:tc>
          <w:tcPr>
            <w:tcW w:w="212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r>
      <w:tr>
        <w:trPr>
          <w:trHeight w:val="238"/>
        </w:trPr>
        <w:tc>
          <w:tcPr>
            <w:tcW w:w="480" w:type="dxa"/>
            <w:vAlign w:val="bottom"/>
            <w:tcBorders>
              <w:left w:val="single" w:sz="8" w:color="231F20"/>
              <w:right w:val="single" w:sz="8" w:color="231F20"/>
            </w:tcBorders>
          </w:tcPr>
          <w:p>
            <w:pPr>
              <w:spacing w:after="0"/>
              <w:rPr>
                <w:sz w:val="20"/>
                <w:szCs w:val="20"/>
                <w:color w:val="auto"/>
              </w:rPr>
            </w:pPr>
          </w:p>
        </w:tc>
        <w:tc>
          <w:tcPr>
            <w:tcW w:w="44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Resale Mandate</w:t>
            </w:r>
            <w:r>
              <w:rPr>
                <w:rFonts w:ascii="Times New Roman" w:cs="Times New Roman" w:eastAsia="Times New Roman" w:hAnsi="Times New Roman"/>
                <w:sz w:val="18"/>
                <w:szCs w:val="18"/>
                <w:color w:val="auto"/>
              </w:rPr>
              <w:t>”).</w:t>
            </w:r>
          </w:p>
        </w:tc>
        <w:tc>
          <w:tcPr>
            <w:tcW w:w="2120" w:type="dxa"/>
            <w:vAlign w:val="bottom"/>
            <w:tcBorders>
              <w:right w:val="single" w:sz="8" w:color="231F20"/>
            </w:tcBorders>
          </w:tcPr>
          <w:p>
            <w:pPr>
              <w:spacing w:after="0"/>
              <w:rPr>
                <w:sz w:val="20"/>
                <w:szCs w:val="20"/>
                <w:color w:val="auto"/>
              </w:rPr>
            </w:pPr>
          </w:p>
        </w:tc>
        <w:tc>
          <w:tcPr>
            <w:tcW w:w="2120" w:type="dxa"/>
            <w:vAlign w:val="bottom"/>
            <w:tcBorders>
              <w:right w:val="single" w:sz="8" w:color="231F20"/>
            </w:tcBorders>
          </w:tcPr>
          <w:p>
            <w:pPr>
              <w:spacing w:after="0"/>
              <w:rPr>
                <w:sz w:val="20"/>
                <w:szCs w:val="20"/>
                <w:color w:val="auto"/>
              </w:rPr>
            </w:pPr>
          </w:p>
        </w:tc>
        <w:tc>
          <w:tcPr>
            <w:tcW w:w="480" w:type="dxa"/>
            <w:vAlign w:val="bottom"/>
          </w:tcPr>
          <w:p>
            <w:pPr>
              <w:spacing w:after="0"/>
              <w:rPr>
                <w:sz w:val="20"/>
                <w:szCs w:val="20"/>
                <w:color w:val="auto"/>
              </w:rPr>
            </w:pPr>
          </w:p>
        </w:tc>
        <w:tc>
          <w:tcPr>
            <w:tcW w:w="1640" w:type="dxa"/>
            <w:vAlign w:val="bottom"/>
            <w:tcBorders>
              <w:right w:val="single" w:sz="8" w:color="231F20"/>
            </w:tcBorders>
          </w:tcPr>
          <w:p>
            <w:pPr>
              <w:spacing w:after="0"/>
              <w:rPr>
                <w:sz w:val="20"/>
                <w:szCs w:val="20"/>
                <w:color w:val="auto"/>
              </w:rPr>
            </w:pPr>
          </w:p>
        </w:tc>
      </w:tr>
      <w:tr>
        <w:trPr>
          <w:trHeight w:val="27"/>
        </w:trPr>
        <w:tc>
          <w:tcPr>
            <w:tcW w:w="480" w:type="dxa"/>
            <w:vAlign w:val="bottom"/>
            <w:tcBorders>
              <w:left w:val="single" w:sz="8" w:color="231F20"/>
              <w:bottom w:val="single" w:sz="8" w:color="auto"/>
              <w:right w:val="single" w:sz="8" w:color="231F20"/>
            </w:tcBorders>
          </w:tcPr>
          <w:p>
            <w:pPr>
              <w:spacing w:after="0"/>
              <w:rPr>
                <w:sz w:val="2"/>
                <w:szCs w:val="2"/>
                <w:color w:val="auto"/>
              </w:rPr>
            </w:pPr>
          </w:p>
        </w:tc>
        <w:tc>
          <w:tcPr>
            <w:tcW w:w="4400" w:type="dxa"/>
            <w:vAlign w:val="bottom"/>
            <w:tcBorders>
              <w:bottom w:val="single" w:sz="8" w:color="auto"/>
              <w:right w:val="single" w:sz="8" w:color="231F20"/>
            </w:tcBorders>
          </w:tcPr>
          <w:p>
            <w:pPr>
              <w:spacing w:after="0"/>
              <w:rPr>
                <w:sz w:val="2"/>
                <w:szCs w:val="2"/>
                <w:color w:val="auto"/>
              </w:rPr>
            </w:pPr>
          </w:p>
        </w:tc>
        <w:tc>
          <w:tcPr>
            <w:tcW w:w="2120" w:type="dxa"/>
            <w:vAlign w:val="bottom"/>
            <w:tcBorders>
              <w:bottom w:val="single" w:sz="8" w:color="auto"/>
              <w:right w:val="single" w:sz="8" w:color="231F20"/>
            </w:tcBorders>
          </w:tcPr>
          <w:p>
            <w:pPr>
              <w:spacing w:after="0"/>
              <w:rPr>
                <w:sz w:val="2"/>
                <w:szCs w:val="2"/>
                <w:color w:val="auto"/>
              </w:rPr>
            </w:pPr>
          </w:p>
        </w:tc>
        <w:tc>
          <w:tcPr>
            <w:tcW w:w="2120" w:type="dxa"/>
            <w:vAlign w:val="bottom"/>
            <w:tcBorders>
              <w:bottom w:val="single" w:sz="8" w:color="auto"/>
              <w:right w:val="single" w:sz="8" w:color="231F20"/>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231F20"/>
            </w:tcBorders>
          </w:tcPr>
          <w:p>
            <w:pPr>
              <w:spacing w:after="0"/>
              <w:rPr>
                <w:sz w:val="2"/>
                <w:szCs w:val="2"/>
                <w:color w:val="auto"/>
              </w:rPr>
            </w:pPr>
          </w:p>
        </w:tc>
      </w:tr>
      <w:tr>
        <w:trPr>
          <w:trHeight w:val="259"/>
        </w:trPr>
        <w:tc>
          <w:tcPr>
            <w:tcW w:w="480" w:type="dxa"/>
            <w:vAlign w:val="bottom"/>
            <w:tcBorders>
              <w:left w:val="single" w:sz="8" w:color="231F20"/>
              <w:right w:val="single" w:sz="8" w:color="231F20"/>
            </w:tcBorders>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44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To give a general mandate to the Directors to repurchase</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2,296,169,898</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102,315</w:t>
            </w:r>
          </w:p>
        </w:tc>
        <w:tc>
          <w:tcPr>
            <w:tcW w:w="480" w:type="dxa"/>
            <w:vAlign w:val="bottom"/>
          </w:tcPr>
          <w:p>
            <w:pPr>
              <w:spacing w:after="0"/>
              <w:rPr>
                <w:sz w:val="22"/>
                <w:szCs w:val="22"/>
                <w:color w:val="auto"/>
              </w:rPr>
            </w:pPr>
          </w:p>
        </w:tc>
        <w:tc>
          <w:tcPr>
            <w:tcW w:w="1640" w:type="dxa"/>
            <w:vAlign w:val="bottom"/>
            <w:tcBorders>
              <w:right w:val="single" w:sz="8" w:color="231F20"/>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6"/>
              </w:rPr>
              <w:t>36,285</w:t>
            </w:r>
          </w:p>
        </w:tc>
      </w:tr>
      <w:tr>
        <w:trPr>
          <w:trHeight w:val="216"/>
        </w:trPr>
        <w:tc>
          <w:tcPr>
            <w:tcW w:w="480" w:type="dxa"/>
            <w:vAlign w:val="bottom"/>
            <w:tcBorders>
              <w:left w:val="single" w:sz="8" w:color="231F20"/>
              <w:right w:val="single" w:sz="8" w:color="231F20"/>
            </w:tcBorders>
          </w:tcPr>
          <w:p>
            <w:pPr>
              <w:spacing w:after="0"/>
              <w:rPr>
                <w:sz w:val="18"/>
                <w:szCs w:val="18"/>
                <w:color w:val="auto"/>
              </w:rPr>
            </w:pPr>
          </w:p>
        </w:tc>
        <w:tc>
          <w:tcPr>
            <w:tcW w:w="44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the Shares and/or ADSs not exceeding 10% of the total</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(99.99%)</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r>
      <w:tr>
        <w:trPr>
          <w:trHeight w:val="216"/>
        </w:trPr>
        <w:tc>
          <w:tcPr>
            <w:tcW w:w="480" w:type="dxa"/>
            <w:vAlign w:val="bottom"/>
            <w:tcBorders>
              <w:left w:val="single" w:sz="8" w:color="231F20"/>
              <w:right w:val="single" w:sz="8" w:color="231F20"/>
            </w:tcBorders>
          </w:tcPr>
          <w:p>
            <w:pPr>
              <w:spacing w:after="0"/>
              <w:rPr>
                <w:sz w:val="18"/>
                <w:szCs w:val="18"/>
                <w:color w:val="auto"/>
              </w:rPr>
            </w:pPr>
          </w:p>
        </w:tc>
        <w:tc>
          <w:tcPr>
            <w:tcW w:w="44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number of issued Shares ( excluding any treasury shares,</w:t>
            </w:r>
          </w:p>
        </w:tc>
        <w:tc>
          <w:tcPr>
            <w:tcW w:w="212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r>
      <w:tr>
        <w:trPr>
          <w:trHeight w:val="212"/>
        </w:trPr>
        <w:tc>
          <w:tcPr>
            <w:tcW w:w="480" w:type="dxa"/>
            <w:vAlign w:val="bottom"/>
            <w:tcBorders>
              <w:left w:val="single" w:sz="8" w:color="231F20"/>
              <w:right w:val="single" w:sz="8" w:color="231F20"/>
            </w:tcBorders>
          </w:tcPr>
          <w:p>
            <w:pPr>
              <w:spacing w:after="0"/>
              <w:rPr>
                <w:sz w:val="18"/>
                <w:szCs w:val="18"/>
                <w:color w:val="auto"/>
              </w:rPr>
            </w:pPr>
          </w:p>
        </w:tc>
        <w:tc>
          <w:tcPr>
            <w:tcW w:w="44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if any) as at the date of passing this resolution (the</w:t>
            </w:r>
          </w:p>
        </w:tc>
        <w:tc>
          <w:tcPr>
            <w:tcW w:w="212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r>
      <w:tr>
        <w:trPr>
          <w:trHeight w:val="238"/>
        </w:trPr>
        <w:tc>
          <w:tcPr>
            <w:tcW w:w="480" w:type="dxa"/>
            <w:vAlign w:val="bottom"/>
            <w:tcBorders>
              <w:left w:val="single" w:sz="8" w:color="231F20"/>
              <w:right w:val="single" w:sz="8" w:color="231F20"/>
            </w:tcBorders>
          </w:tcPr>
          <w:p>
            <w:pPr>
              <w:spacing w:after="0"/>
              <w:rPr>
                <w:sz w:val="20"/>
                <w:szCs w:val="20"/>
                <w:color w:val="auto"/>
              </w:rPr>
            </w:pPr>
          </w:p>
        </w:tc>
        <w:tc>
          <w:tcPr>
            <w:tcW w:w="440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Repurchase Mandate</w:t>
            </w:r>
            <w:r>
              <w:rPr>
                <w:rFonts w:ascii="Times New Roman" w:cs="Times New Roman" w:eastAsia="Times New Roman" w:hAnsi="Times New Roman"/>
                <w:sz w:val="18"/>
                <w:szCs w:val="18"/>
                <w:color w:val="auto"/>
              </w:rPr>
              <w:t>”).</w:t>
            </w:r>
          </w:p>
        </w:tc>
        <w:tc>
          <w:tcPr>
            <w:tcW w:w="2120" w:type="dxa"/>
            <w:vAlign w:val="bottom"/>
            <w:tcBorders>
              <w:right w:val="single" w:sz="8" w:color="231F20"/>
            </w:tcBorders>
          </w:tcPr>
          <w:p>
            <w:pPr>
              <w:spacing w:after="0"/>
              <w:rPr>
                <w:sz w:val="20"/>
                <w:szCs w:val="20"/>
                <w:color w:val="auto"/>
              </w:rPr>
            </w:pPr>
          </w:p>
        </w:tc>
        <w:tc>
          <w:tcPr>
            <w:tcW w:w="2120" w:type="dxa"/>
            <w:vAlign w:val="bottom"/>
            <w:tcBorders>
              <w:right w:val="single" w:sz="8" w:color="231F20"/>
            </w:tcBorders>
          </w:tcPr>
          <w:p>
            <w:pPr>
              <w:spacing w:after="0"/>
              <w:rPr>
                <w:sz w:val="20"/>
                <w:szCs w:val="20"/>
                <w:color w:val="auto"/>
              </w:rPr>
            </w:pPr>
          </w:p>
        </w:tc>
        <w:tc>
          <w:tcPr>
            <w:tcW w:w="480" w:type="dxa"/>
            <w:vAlign w:val="bottom"/>
          </w:tcPr>
          <w:p>
            <w:pPr>
              <w:spacing w:after="0"/>
              <w:rPr>
                <w:sz w:val="20"/>
                <w:szCs w:val="20"/>
                <w:color w:val="auto"/>
              </w:rPr>
            </w:pPr>
          </w:p>
        </w:tc>
        <w:tc>
          <w:tcPr>
            <w:tcW w:w="1640" w:type="dxa"/>
            <w:vAlign w:val="bottom"/>
            <w:tcBorders>
              <w:right w:val="single" w:sz="8" w:color="231F20"/>
            </w:tcBorders>
          </w:tcPr>
          <w:p>
            <w:pPr>
              <w:spacing w:after="0"/>
              <w:rPr>
                <w:sz w:val="20"/>
                <w:szCs w:val="20"/>
                <w:color w:val="auto"/>
              </w:rPr>
            </w:pPr>
          </w:p>
        </w:tc>
      </w:tr>
      <w:tr>
        <w:trPr>
          <w:trHeight w:val="27"/>
        </w:trPr>
        <w:tc>
          <w:tcPr>
            <w:tcW w:w="480" w:type="dxa"/>
            <w:vAlign w:val="bottom"/>
            <w:tcBorders>
              <w:left w:val="single" w:sz="8" w:color="231F20"/>
              <w:bottom w:val="single" w:sz="8" w:color="auto"/>
              <w:right w:val="single" w:sz="8" w:color="231F20"/>
            </w:tcBorders>
          </w:tcPr>
          <w:p>
            <w:pPr>
              <w:spacing w:after="0"/>
              <w:rPr>
                <w:sz w:val="2"/>
                <w:szCs w:val="2"/>
                <w:color w:val="auto"/>
              </w:rPr>
            </w:pPr>
          </w:p>
        </w:tc>
        <w:tc>
          <w:tcPr>
            <w:tcW w:w="4400" w:type="dxa"/>
            <w:vAlign w:val="bottom"/>
            <w:tcBorders>
              <w:bottom w:val="single" w:sz="8" w:color="auto"/>
              <w:right w:val="single" w:sz="8" w:color="231F20"/>
            </w:tcBorders>
          </w:tcPr>
          <w:p>
            <w:pPr>
              <w:spacing w:after="0"/>
              <w:rPr>
                <w:sz w:val="2"/>
                <w:szCs w:val="2"/>
                <w:color w:val="auto"/>
              </w:rPr>
            </w:pPr>
          </w:p>
        </w:tc>
        <w:tc>
          <w:tcPr>
            <w:tcW w:w="2120" w:type="dxa"/>
            <w:vAlign w:val="bottom"/>
            <w:tcBorders>
              <w:bottom w:val="single" w:sz="8" w:color="auto"/>
              <w:right w:val="single" w:sz="8" w:color="231F20"/>
            </w:tcBorders>
          </w:tcPr>
          <w:p>
            <w:pPr>
              <w:spacing w:after="0"/>
              <w:rPr>
                <w:sz w:val="2"/>
                <w:szCs w:val="2"/>
                <w:color w:val="auto"/>
              </w:rPr>
            </w:pPr>
          </w:p>
        </w:tc>
        <w:tc>
          <w:tcPr>
            <w:tcW w:w="2120" w:type="dxa"/>
            <w:vAlign w:val="bottom"/>
            <w:tcBorders>
              <w:bottom w:val="single" w:sz="8" w:color="auto"/>
              <w:right w:val="single" w:sz="8" w:color="231F20"/>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231F20"/>
            </w:tcBorders>
          </w:tcPr>
          <w:p>
            <w:pPr>
              <w:spacing w:after="0"/>
              <w:rPr>
                <w:sz w:val="2"/>
                <w:szCs w:val="2"/>
                <w:color w:val="auto"/>
              </w:rPr>
            </w:pPr>
          </w:p>
        </w:tc>
      </w:tr>
      <w:tr>
        <w:trPr>
          <w:trHeight w:val="668"/>
        </w:trPr>
        <w:tc>
          <w:tcPr>
            <w:tcW w:w="4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2</w:t>
            </w:r>
          </w:p>
        </w:tc>
        <w:tc>
          <w:tcPr>
            <w:tcW w:w="2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600" w:type="dxa"/>
            <w:vAlign w:val="bottom"/>
            <w:tcBorders>
              <w:top w:val="single" w:sz="8" w:color="231F20"/>
              <w:left w:val="single" w:sz="8" w:color="231F20"/>
            </w:tcBorders>
          </w:tcPr>
          <w:p>
            <w:pPr>
              <w:spacing w:after="0"/>
              <w:rPr>
                <w:sz w:val="23"/>
                <w:szCs w:val="23"/>
                <w:color w:val="auto"/>
              </w:rPr>
            </w:pPr>
          </w:p>
        </w:tc>
        <w:tc>
          <w:tcPr>
            <w:tcW w:w="4280" w:type="dxa"/>
            <w:vAlign w:val="bottom"/>
            <w:tcBorders>
              <w:top w:val="single" w:sz="8" w:color="231F20"/>
              <w:right w:val="single" w:sz="8" w:color="231F20"/>
            </w:tcBorders>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ORDINARY RESOLUTIONS</w:t>
            </w:r>
          </w:p>
        </w:tc>
        <w:tc>
          <w:tcPr>
            <w:tcW w:w="2120" w:type="dxa"/>
            <w:vAlign w:val="bottom"/>
            <w:tcBorders>
              <w:top w:val="single" w:sz="8" w:color="231F20"/>
            </w:tcBorders>
          </w:tcPr>
          <w:p>
            <w:pPr>
              <w:spacing w:after="0"/>
              <w:rPr>
                <w:sz w:val="23"/>
                <w:szCs w:val="23"/>
                <w:color w:val="auto"/>
              </w:rPr>
            </w:pPr>
          </w:p>
        </w:tc>
        <w:tc>
          <w:tcPr>
            <w:tcW w:w="2600" w:type="dxa"/>
            <w:vAlign w:val="bottom"/>
            <w:tcBorders>
              <w:top w:val="single" w:sz="8" w:color="231F20"/>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NUMBER OF VOTES CAST</w:t>
            </w:r>
          </w:p>
        </w:tc>
        <w:tc>
          <w:tcPr>
            <w:tcW w:w="1640" w:type="dxa"/>
            <w:vAlign w:val="bottom"/>
            <w:tcBorders>
              <w:top w:val="single" w:sz="8" w:color="231F20"/>
              <w:right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600" w:type="dxa"/>
            <w:vAlign w:val="bottom"/>
            <w:tcBorders>
              <w:left w:val="single" w:sz="8" w:color="231F20"/>
            </w:tcBorders>
          </w:tcPr>
          <w:p>
            <w:pPr>
              <w:spacing w:after="0"/>
              <w:rPr>
                <w:sz w:val="14"/>
                <w:szCs w:val="14"/>
                <w:color w:val="auto"/>
              </w:rPr>
            </w:pPr>
          </w:p>
        </w:tc>
        <w:tc>
          <w:tcPr>
            <w:tcW w:w="4280" w:type="dxa"/>
            <w:vAlign w:val="bottom"/>
            <w:tcBorders>
              <w:right w:val="single" w:sz="8" w:color="231F20"/>
            </w:tcBorders>
            <w:vMerge w:val="continue"/>
          </w:tcPr>
          <w:p>
            <w:pPr>
              <w:spacing w:after="0"/>
              <w:rPr>
                <w:sz w:val="14"/>
                <w:szCs w:val="14"/>
                <w:color w:val="auto"/>
              </w:rPr>
            </w:pPr>
          </w:p>
        </w:tc>
        <w:tc>
          <w:tcPr>
            <w:tcW w:w="2120" w:type="dxa"/>
            <w:vAlign w:val="bottom"/>
          </w:tcPr>
          <w:p>
            <w:pPr>
              <w:spacing w:after="0"/>
              <w:rPr>
                <w:sz w:val="14"/>
                <w:szCs w:val="14"/>
                <w:color w:val="auto"/>
              </w:rPr>
            </w:pPr>
          </w:p>
        </w:tc>
        <w:tc>
          <w:tcPr>
            <w:tcW w:w="26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AND PERCENTAGE (%)</w:t>
            </w:r>
          </w:p>
        </w:tc>
        <w:tc>
          <w:tcPr>
            <w:tcW w:w="1640" w:type="dxa"/>
            <w:vAlign w:val="bottom"/>
            <w:tcBorders>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600" w:type="dxa"/>
            <w:vAlign w:val="bottom"/>
            <w:tcBorders>
              <w:left w:val="single" w:sz="8" w:color="231F20"/>
            </w:tcBorders>
          </w:tcPr>
          <w:p>
            <w:pPr>
              <w:spacing w:after="0"/>
              <w:rPr>
                <w:sz w:val="5"/>
                <w:szCs w:val="5"/>
                <w:color w:val="auto"/>
              </w:rPr>
            </w:pPr>
          </w:p>
        </w:tc>
        <w:tc>
          <w:tcPr>
            <w:tcW w:w="4280" w:type="dxa"/>
            <w:vAlign w:val="bottom"/>
            <w:tcBorders>
              <w:right w:val="single" w:sz="8" w:color="231F20"/>
            </w:tcBorders>
          </w:tcPr>
          <w:p>
            <w:pPr>
              <w:spacing w:after="0"/>
              <w:rPr>
                <w:sz w:val="5"/>
                <w:szCs w:val="5"/>
                <w:color w:val="auto"/>
              </w:rPr>
            </w:pPr>
          </w:p>
        </w:tc>
        <w:tc>
          <w:tcPr>
            <w:tcW w:w="2120" w:type="dxa"/>
            <w:vAlign w:val="bottom"/>
            <w:tcBorders>
              <w:bottom w:val="single" w:sz="8" w:color="231F20"/>
            </w:tcBorders>
          </w:tcPr>
          <w:p>
            <w:pPr>
              <w:spacing w:after="0"/>
              <w:rPr>
                <w:sz w:val="5"/>
                <w:szCs w:val="5"/>
                <w:color w:val="auto"/>
              </w:rPr>
            </w:pPr>
          </w:p>
        </w:tc>
        <w:tc>
          <w:tcPr>
            <w:tcW w:w="2600" w:type="dxa"/>
            <w:vAlign w:val="bottom"/>
            <w:tcBorders>
              <w:bottom w:val="single" w:sz="8" w:color="231F20"/>
            </w:tcBorders>
            <w:gridSpan w:val="2"/>
            <w:vMerge w:val="continue"/>
          </w:tcPr>
          <w:p>
            <w:pPr>
              <w:spacing w:after="0"/>
              <w:rPr>
                <w:sz w:val="5"/>
                <w:szCs w:val="5"/>
                <w:color w:val="auto"/>
              </w:rPr>
            </w:pPr>
          </w:p>
        </w:tc>
        <w:tc>
          <w:tcPr>
            <w:tcW w:w="1640" w:type="dxa"/>
            <w:vAlign w:val="bottom"/>
            <w:tcBorders>
              <w:bottom w:val="single" w:sz="8" w:color="231F20"/>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600" w:type="dxa"/>
            <w:vAlign w:val="bottom"/>
            <w:tcBorders>
              <w:left w:val="single" w:sz="8" w:color="231F20"/>
              <w:bottom w:val="single" w:sz="8" w:color="231F20"/>
            </w:tcBorders>
          </w:tcPr>
          <w:p>
            <w:pPr>
              <w:spacing w:after="0"/>
              <w:rPr>
                <w:sz w:val="24"/>
                <w:szCs w:val="24"/>
                <w:color w:val="auto"/>
              </w:rPr>
            </w:pPr>
          </w:p>
        </w:tc>
        <w:tc>
          <w:tcPr>
            <w:tcW w:w="4280" w:type="dxa"/>
            <w:vAlign w:val="bottom"/>
            <w:tcBorders>
              <w:bottom w:val="single" w:sz="8" w:color="231F20"/>
              <w:right w:val="single" w:sz="8" w:color="231F20"/>
            </w:tcBorders>
          </w:tcPr>
          <w:p>
            <w:pPr>
              <w:spacing w:after="0"/>
              <w:rPr>
                <w:sz w:val="24"/>
                <w:szCs w:val="24"/>
                <w:color w:val="auto"/>
              </w:rPr>
            </w:pPr>
          </w:p>
        </w:tc>
        <w:tc>
          <w:tcPr>
            <w:tcW w:w="2120" w:type="dxa"/>
            <w:vAlign w:val="bottom"/>
            <w:tcBorders>
              <w:bottom w:val="single" w:sz="8" w:color="231F20"/>
              <w:right w:val="single" w:sz="8" w:color="231F20"/>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FOR</w:t>
            </w:r>
          </w:p>
        </w:tc>
        <w:tc>
          <w:tcPr>
            <w:tcW w:w="2120" w:type="dxa"/>
            <w:vAlign w:val="bottom"/>
            <w:tcBorders>
              <w:bottom w:val="single" w:sz="8" w:color="231F20"/>
              <w:right w:val="single" w:sz="8" w:color="231F20"/>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480" w:type="dxa"/>
            <w:vAlign w:val="bottom"/>
            <w:tcBorders>
              <w:bottom w:val="single" w:sz="8" w:color="231F20"/>
            </w:tcBorders>
          </w:tcPr>
          <w:p>
            <w:pPr>
              <w:spacing w:after="0"/>
              <w:rPr>
                <w:sz w:val="24"/>
                <w:szCs w:val="24"/>
                <w:color w:val="auto"/>
              </w:rPr>
            </w:pPr>
          </w:p>
        </w:tc>
        <w:tc>
          <w:tcPr>
            <w:tcW w:w="1640" w:type="dxa"/>
            <w:vAlign w:val="bottom"/>
            <w:tcBorders>
              <w:bottom w:val="single" w:sz="8" w:color="231F20"/>
              <w:right w:val="single" w:sz="8" w:color="231F20"/>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0" w:type="dxa"/>
            <w:vAlign w:val="bottom"/>
          </w:tcPr>
          <w:p>
            <w:pPr>
              <w:spacing w:after="0"/>
              <w:rPr>
                <w:sz w:val="1"/>
                <w:szCs w:val="1"/>
                <w:color w:val="auto"/>
              </w:rPr>
            </w:pPr>
          </w:p>
        </w:tc>
      </w:tr>
      <w:tr>
        <w:trPr>
          <w:trHeight w:val="259"/>
        </w:trPr>
        <w:tc>
          <w:tcPr>
            <w:tcW w:w="60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auto"/>
              </w:rPr>
              <w:t>9.</w:t>
            </w:r>
          </w:p>
        </w:tc>
        <w:tc>
          <w:tcPr>
            <w:tcW w:w="428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Conditional upon the passing of resolutions no. 7 and</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2,165,809,606</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130,538,237</w:t>
            </w:r>
          </w:p>
        </w:tc>
        <w:tc>
          <w:tcPr>
            <w:tcW w:w="480" w:type="dxa"/>
            <w:vAlign w:val="bottom"/>
          </w:tcPr>
          <w:p>
            <w:pPr>
              <w:spacing w:after="0"/>
              <w:rPr>
                <w:sz w:val="22"/>
                <w:szCs w:val="22"/>
                <w:color w:val="auto"/>
              </w:rPr>
            </w:pPr>
          </w:p>
        </w:tc>
        <w:tc>
          <w:tcPr>
            <w:tcW w:w="1640" w:type="dxa"/>
            <w:vAlign w:val="bottom"/>
            <w:tcBorders>
              <w:right w:val="single" w:sz="8" w:color="231F20"/>
            </w:tcBorders>
          </w:tcPr>
          <w:p>
            <w:pPr>
              <w:jc w:val="center"/>
              <w:ind w:right="410"/>
              <w:spacing w:after="0"/>
              <w:rPr>
                <w:sz w:val="20"/>
                <w:szCs w:val="20"/>
                <w:color w:val="auto"/>
              </w:rPr>
            </w:pPr>
            <w:r>
              <w:rPr>
                <w:rFonts w:ascii="Times New Roman" w:cs="Times New Roman" w:eastAsia="Times New Roman" w:hAnsi="Times New Roman"/>
                <w:sz w:val="18"/>
                <w:szCs w:val="18"/>
                <w:color w:val="auto"/>
              </w:rPr>
              <w:t>80,820</w:t>
            </w: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428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no. 8, to extend the Issuance and Resale Mandate</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7"/>
              </w:rPr>
              <w:t>(94.32%)</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(5.68%)</w:t>
            </w: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428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granted to the Directors to issue, allot and deal with</w:t>
            </w:r>
          </w:p>
        </w:tc>
        <w:tc>
          <w:tcPr>
            <w:tcW w:w="212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428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additional Shares and/ or ADSs, and/or sell and/or</w:t>
            </w:r>
          </w:p>
        </w:tc>
        <w:tc>
          <w:tcPr>
            <w:tcW w:w="212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428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transfer Shares out of treasury that are held as treasury</w:t>
            </w:r>
          </w:p>
        </w:tc>
        <w:tc>
          <w:tcPr>
            <w:tcW w:w="212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428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shares, in the capital of the Company by the aggregate</w:t>
            </w:r>
          </w:p>
        </w:tc>
        <w:tc>
          <w:tcPr>
            <w:tcW w:w="212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428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number of the Shares and/or Shares underlying the</w:t>
            </w:r>
          </w:p>
        </w:tc>
        <w:tc>
          <w:tcPr>
            <w:tcW w:w="212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428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ADSs  repurchased  by  the  Company  under  the</w:t>
            </w:r>
          </w:p>
        </w:tc>
        <w:tc>
          <w:tcPr>
            <w:tcW w:w="212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428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Repurchase Mandate.</w:t>
            </w:r>
          </w:p>
        </w:tc>
        <w:tc>
          <w:tcPr>
            <w:tcW w:w="2120" w:type="dxa"/>
            <w:vAlign w:val="bottom"/>
            <w:tcBorders>
              <w:right w:val="single" w:sz="8" w:color="231F20"/>
            </w:tcBorders>
          </w:tcPr>
          <w:p>
            <w:pPr>
              <w:spacing w:after="0"/>
              <w:rPr>
                <w:sz w:val="20"/>
                <w:szCs w:val="20"/>
                <w:color w:val="auto"/>
              </w:rPr>
            </w:pPr>
          </w:p>
        </w:tc>
        <w:tc>
          <w:tcPr>
            <w:tcW w:w="2120" w:type="dxa"/>
            <w:vAlign w:val="bottom"/>
            <w:tcBorders>
              <w:right w:val="single" w:sz="8" w:color="231F20"/>
            </w:tcBorders>
          </w:tcPr>
          <w:p>
            <w:pPr>
              <w:spacing w:after="0"/>
              <w:rPr>
                <w:sz w:val="20"/>
                <w:szCs w:val="20"/>
                <w:color w:val="auto"/>
              </w:rPr>
            </w:pPr>
          </w:p>
        </w:tc>
        <w:tc>
          <w:tcPr>
            <w:tcW w:w="480" w:type="dxa"/>
            <w:vAlign w:val="bottom"/>
          </w:tcPr>
          <w:p>
            <w:pPr>
              <w:spacing w:after="0"/>
              <w:rPr>
                <w:sz w:val="20"/>
                <w:szCs w:val="20"/>
                <w:color w:val="auto"/>
              </w:rPr>
            </w:pPr>
          </w:p>
        </w:tc>
        <w:tc>
          <w:tcPr>
            <w:tcW w:w="16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4280" w:type="dxa"/>
            <w:vAlign w:val="bottom"/>
            <w:tcBorders>
              <w:bottom w:val="single" w:sz="8" w:color="231F20"/>
              <w:right w:val="single" w:sz="8" w:color="231F20"/>
            </w:tcBorders>
          </w:tcPr>
          <w:p>
            <w:pPr>
              <w:spacing w:after="0"/>
              <w:rPr>
                <w:sz w:val="2"/>
                <w:szCs w:val="2"/>
                <w:color w:val="auto"/>
              </w:rPr>
            </w:pPr>
          </w:p>
        </w:tc>
        <w:tc>
          <w:tcPr>
            <w:tcW w:w="2120" w:type="dxa"/>
            <w:vAlign w:val="bottom"/>
            <w:tcBorders>
              <w:bottom w:val="single" w:sz="8" w:color="231F20"/>
              <w:right w:val="single" w:sz="8" w:color="231F20"/>
            </w:tcBorders>
          </w:tcPr>
          <w:p>
            <w:pPr>
              <w:spacing w:after="0"/>
              <w:rPr>
                <w:sz w:val="2"/>
                <w:szCs w:val="2"/>
                <w:color w:val="auto"/>
              </w:rPr>
            </w:pPr>
          </w:p>
        </w:tc>
        <w:tc>
          <w:tcPr>
            <w:tcW w:w="2120" w:type="dxa"/>
            <w:vAlign w:val="bottom"/>
            <w:tcBorders>
              <w:bottom w:val="single" w:sz="8" w:color="231F20"/>
              <w:right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164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60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42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(1)  To approve and adopt the 2026 Share Incentive</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2,135,249,984</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161,143,084</w:t>
            </w:r>
          </w:p>
        </w:tc>
        <w:tc>
          <w:tcPr>
            <w:tcW w:w="480" w:type="dxa"/>
            <w:vAlign w:val="bottom"/>
          </w:tcPr>
          <w:p>
            <w:pPr>
              <w:spacing w:after="0"/>
              <w:rPr>
                <w:sz w:val="22"/>
                <w:szCs w:val="22"/>
                <w:color w:val="auto"/>
              </w:rPr>
            </w:pPr>
          </w:p>
        </w:tc>
        <w:tc>
          <w:tcPr>
            <w:tcW w:w="1640" w:type="dxa"/>
            <w:vAlign w:val="bottom"/>
            <w:tcBorders>
              <w:right w:val="single" w:sz="8" w:color="231F20"/>
            </w:tcBorders>
          </w:tcPr>
          <w:p>
            <w:pPr>
              <w:jc w:val="center"/>
              <w:ind w:right="410"/>
              <w:spacing w:after="0"/>
              <w:rPr>
                <w:sz w:val="20"/>
                <w:szCs w:val="20"/>
                <w:color w:val="auto"/>
              </w:rPr>
            </w:pPr>
            <w:r>
              <w:rPr>
                <w:rFonts w:ascii="Times New Roman" w:cs="Times New Roman" w:eastAsia="Times New Roman" w:hAnsi="Times New Roman"/>
                <w:sz w:val="18"/>
                <w:szCs w:val="18"/>
                <w:color w:val="auto"/>
              </w:rPr>
              <w:t>35,505</w:t>
            </w:r>
          </w:p>
        </w:tc>
        <w:tc>
          <w:tcPr>
            <w:tcW w:w="0" w:type="dxa"/>
            <w:vAlign w:val="bottom"/>
          </w:tcPr>
          <w:p>
            <w:pPr>
              <w:spacing w:after="0"/>
              <w:rPr>
                <w:sz w:val="1"/>
                <w:szCs w:val="1"/>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4280" w:type="dxa"/>
            <w:vAlign w:val="bottom"/>
            <w:tcBorders>
              <w:right w:val="single" w:sz="8" w:color="231F20"/>
            </w:tcBorders>
          </w:tcPr>
          <w:p>
            <w:pPr>
              <w:ind w:left="440"/>
              <w:spacing w:after="0"/>
              <w:rPr>
                <w:sz w:val="20"/>
                <w:szCs w:val="20"/>
                <w:color w:val="auto"/>
              </w:rPr>
            </w:pPr>
            <w:r>
              <w:rPr>
                <w:rFonts w:ascii="Times New Roman" w:cs="Times New Roman" w:eastAsia="Times New Roman" w:hAnsi="Times New Roman"/>
                <w:sz w:val="18"/>
                <w:szCs w:val="18"/>
                <w:color w:val="auto"/>
              </w:rPr>
              <w:t>Plan.</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7"/>
              </w:rPr>
              <w:t>(92.98%)</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(7.02%)</w:t>
            </w:r>
          </w:p>
        </w:tc>
        <w:tc>
          <w:tcPr>
            <w:tcW w:w="480" w:type="dxa"/>
            <w:vAlign w:val="bottom"/>
          </w:tcPr>
          <w:p>
            <w:pPr>
              <w:spacing w:after="0"/>
              <w:rPr>
                <w:sz w:val="20"/>
                <w:szCs w:val="20"/>
                <w:color w:val="auto"/>
              </w:rPr>
            </w:pPr>
          </w:p>
        </w:tc>
        <w:tc>
          <w:tcPr>
            <w:tcW w:w="16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231F20"/>
              <w:right w:val="single" w:sz="8" w:color="231F20"/>
            </w:tcBorders>
          </w:tcPr>
          <w:p>
            <w:pPr>
              <w:spacing w:after="0"/>
              <w:rPr>
                <w:sz w:val="2"/>
                <w:szCs w:val="2"/>
                <w:color w:val="auto"/>
              </w:rPr>
            </w:pPr>
          </w:p>
        </w:tc>
        <w:tc>
          <w:tcPr>
            <w:tcW w:w="4280" w:type="dxa"/>
            <w:vAlign w:val="bottom"/>
            <w:tcBorders>
              <w:bottom w:val="single" w:sz="8" w:color="231F20"/>
              <w:right w:val="single" w:sz="8" w:color="231F20"/>
            </w:tcBorders>
          </w:tcPr>
          <w:p>
            <w:pPr>
              <w:spacing w:after="0"/>
              <w:rPr>
                <w:sz w:val="2"/>
                <w:szCs w:val="2"/>
                <w:color w:val="auto"/>
              </w:rPr>
            </w:pPr>
          </w:p>
        </w:tc>
        <w:tc>
          <w:tcPr>
            <w:tcW w:w="2120" w:type="dxa"/>
            <w:vAlign w:val="bottom"/>
            <w:tcBorders>
              <w:bottom w:val="single" w:sz="8" w:color="231F20"/>
              <w:right w:val="single" w:sz="8" w:color="231F20"/>
            </w:tcBorders>
          </w:tcPr>
          <w:p>
            <w:pPr>
              <w:spacing w:after="0"/>
              <w:rPr>
                <w:sz w:val="2"/>
                <w:szCs w:val="2"/>
                <w:color w:val="auto"/>
              </w:rPr>
            </w:pPr>
          </w:p>
        </w:tc>
        <w:tc>
          <w:tcPr>
            <w:tcW w:w="2120" w:type="dxa"/>
            <w:vAlign w:val="bottom"/>
            <w:tcBorders>
              <w:bottom w:val="single" w:sz="8" w:color="231F20"/>
              <w:right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164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600" w:type="dxa"/>
            <w:vAlign w:val="bottom"/>
            <w:tcBorders>
              <w:left w:val="single" w:sz="8" w:color="231F20"/>
              <w:right w:val="single" w:sz="8" w:color="231F20"/>
            </w:tcBorders>
          </w:tcPr>
          <w:p>
            <w:pPr>
              <w:spacing w:after="0"/>
              <w:rPr>
                <w:sz w:val="22"/>
                <w:szCs w:val="22"/>
                <w:color w:val="auto"/>
              </w:rPr>
            </w:pPr>
          </w:p>
        </w:tc>
        <w:tc>
          <w:tcPr>
            <w:tcW w:w="42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(2)  To approve and adopt the Scheme Mandate Limit.</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2,135,238,329</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161,132,554</w:t>
            </w:r>
          </w:p>
        </w:tc>
        <w:tc>
          <w:tcPr>
            <w:tcW w:w="480" w:type="dxa"/>
            <w:vAlign w:val="bottom"/>
          </w:tcPr>
          <w:p>
            <w:pPr>
              <w:spacing w:after="0"/>
              <w:rPr>
                <w:sz w:val="22"/>
                <w:szCs w:val="22"/>
                <w:color w:val="auto"/>
              </w:rPr>
            </w:pPr>
          </w:p>
        </w:tc>
        <w:tc>
          <w:tcPr>
            <w:tcW w:w="1640" w:type="dxa"/>
            <w:vAlign w:val="bottom"/>
            <w:tcBorders>
              <w:right w:val="single" w:sz="8" w:color="231F20"/>
            </w:tcBorders>
          </w:tcPr>
          <w:p>
            <w:pPr>
              <w:jc w:val="center"/>
              <w:ind w:right="410"/>
              <w:spacing w:after="0"/>
              <w:rPr>
                <w:sz w:val="20"/>
                <w:szCs w:val="20"/>
                <w:color w:val="auto"/>
              </w:rPr>
            </w:pPr>
            <w:r>
              <w:rPr>
                <w:rFonts w:ascii="Times New Roman" w:cs="Times New Roman" w:eastAsia="Times New Roman" w:hAnsi="Times New Roman"/>
                <w:sz w:val="18"/>
                <w:szCs w:val="18"/>
                <w:color w:val="auto"/>
              </w:rPr>
              <w:t>57,645</w:t>
            </w:r>
          </w:p>
        </w:tc>
        <w:tc>
          <w:tcPr>
            <w:tcW w:w="0" w:type="dxa"/>
            <w:vAlign w:val="bottom"/>
          </w:tcPr>
          <w:p>
            <w:pPr>
              <w:spacing w:after="0"/>
              <w:rPr>
                <w:sz w:val="1"/>
                <w:szCs w:val="1"/>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4280" w:type="dxa"/>
            <w:vAlign w:val="bottom"/>
            <w:tcBorders>
              <w:right w:val="single" w:sz="8" w:color="231F20"/>
            </w:tcBorders>
          </w:tcPr>
          <w:p>
            <w:pPr>
              <w:spacing w:after="0"/>
              <w:rPr>
                <w:sz w:val="20"/>
                <w:szCs w:val="20"/>
                <w:color w:val="auto"/>
              </w:rPr>
            </w:pP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7"/>
              </w:rPr>
              <w:t>(92.98%)</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(7.02%)</w:t>
            </w:r>
          </w:p>
        </w:tc>
        <w:tc>
          <w:tcPr>
            <w:tcW w:w="480" w:type="dxa"/>
            <w:vAlign w:val="bottom"/>
          </w:tcPr>
          <w:p>
            <w:pPr>
              <w:spacing w:after="0"/>
              <w:rPr>
                <w:sz w:val="20"/>
                <w:szCs w:val="20"/>
                <w:color w:val="auto"/>
              </w:rPr>
            </w:pPr>
          </w:p>
        </w:tc>
        <w:tc>
          <w:tcPr>
            <w:tcW w:w="16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231F20"/>
              <w:right w:val="single" w:sz="8" w:color="231F20"/>
            </w:tcBorders>
          </w:tcPr>
          <w:p>
            <w:pPr>
              <w:spacing w:after="0"/>
              <w:rPr>
                <w:sz w:val="2"/>
                <w:szCs w:val="2"/>
                <w:color w:val="auto"/>
              </w:rPr>
            </w:pPr>
          </w:p>
        </w:tc>
        <w:tc>
          <w:tcPr>
            <w:tcW w:w="4280" w:type="dxa"/>
            <w:vAlign w:val="bottom"/>
            <w:tcBorders>
              <w:bottom w:val="single" w:sz="8" w:color="231F20"/>
              <w:right w:val="single" w:sz="8" w:color="231F20"/>
            </w:tcBorders>
          </w:tcPr>
          <w:p>
            <w:pPr>
              <w:spacing w:after="0"/>
              <w:rPr>
                <w:sz w:val="2"/>
                <w:szCs w:val="2"/>
                <w:color w:val="auto"/>
              </w:rPr>
            </w:pPr>
          </w:p>
        </w:tc>
        <w:tc>
          <w:tcPr>
            <w:tcW w:w="2120" w:type="dxa"/>
            <w:vAlign w:val="bottom"/>
            <w:tcBorders>
              <w:bottom w:val="single" w:sz="8" w:color="231F20"/>
              <w:right w:val="single" w:sz="8" w:color="231F20"/>
            </w:tcBorders>
          </w:tcPr>
          <w:p>
            <w:pPr>
              <w:spacing w:after="0"/>
              <w:rPr>
                <w:sz w:val="2"/>
                <w:szCs w:val="2"/>
                <w:color w:val="auto"/>
              </w:rPr>
            </w:pPr>
          </w:p>
        </w:tc>
        <w:tc>
          <w:tcPr>
            <w:tcW w:w="2120" w:type="dxa"/>
            <w:vAlign w:val="bottom"/>
            <w:tcBorders>
              <w:bottom w:val="single" w:sz="8" w:color="231F20"/>
              <w:right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164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600" w:type="dxa"/>
            <w:vAlign w:val="bottom"/>
            <w:tcBorders>
              <w:left w:val="single" w:sz="8" w:color="231F20"/>
              <w:right w:val="single" w:sz="8" w:color="231F20"/>
            </w:tcBorders>
          </w:tcPr>
          <w:p>
            <w:pPr>
              <w:spacing w:after="0"/>
              <w:rPr>
                <w:sz w:val="22"/>
                <w:szCs w:val="22"/>
                <w:color w:val="auto"/>
              </w:rPr>
            </w:pPr>
          </w:p>
        </w:tc>
        <w:tc>
          <w:tcPr>
            <w:tcW w:w="42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(3)  Conditional upon the passing of resolution no.</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2,135,207,369</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161,081,929</w:t>
            </w:r>
          </w:p>
        </w:tc>
        <w:tc>
          <w:tcPr>
            <w:tcW w:w="480" w:type="dxa"/>
            <w:vAlign w:val="bottom"/>
          </w:tcPr>
          <w:p>
            <w:pPr>
              <w:spacing w:after="0"/>
              <w:rPr>
                <w:sz w:val="22"/>
                <w:szCs w:val="22"/>
                <w:color w:val="auto"/>
              </w:rPr>
            </w:pPr>
          </w:p>
        </w:tc>
        <w:tc>
          <w:tcPr>
            <w:tcW w:w="1640" w:type="dxa"/>
            <w:vAlign w:val="bottom"/>
            <w:tcBorders>
              <w:right w:val="single" w:sz="8" w:color="231F20"/>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139,215</w:t>
            </w: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4280" w:type="dxa"/>
            <w:vAlign w:val="bottom"/>
            <w:tcBorders>
              <w:right w:val="single" w:sz="8" w:color="231F20"/>
            </w:tcBorders>
          </w:tcPr>
          <w:p>
            <w:pPr>
              <w:ind w:left="440"/>
              <w:spacing w:after="0"/>
              <w:rPr>
                <w:sz w:val="20"/>
                <w:szCs w:val="20"/>
                <w:color w:val="auto"/>
              </w:rPr>
            </w:pPr>
            <w:r>
              <w:rPr>
                <w:rFonts w:ascii="Times New Roman" w:cs="Times New Roman" w:eastAsia="Times New Roman" w:hAnsi="Times New Roman"/>
                <w:sz w:val="18"/>
                <w:szCs w:val="18"/>
                <w:color w:val="auto"/>
              </w:rPr>
              <w:t>10(2), to approve and adopt the Service Provider</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7"/>
              </w:rPr>
              <w:t>(92.99%)</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(7.01%)</w:t>
            </w: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4280" w:type="dxa"/>
            <w:vAlign w:val="bottom"/>
            <w:tcBorders>
              <w:right w:val="single" w:sz="8" w:color="231F20"/>
            </w:tcBorders>
          </w:tcPr>
          <w:p>
            <w:pPr>
              <w:ind w:left="440"/>
              <w:spacing w:after="0"/>
              <w:rPr>
                <w:sz w:val="20"/>
                <w:szCs w:val="20"/>
                <w:color w:val="auto"/>
              </w:rPr>
            </w:pPr>
            <w:r>
              <w:rPr>
                <w:rFonts w:ascii="Times New Roman" w:cs="Times New Roman" w:eastAsia="Times New Roman" w:hAnsi="Times New Roman"/>
                <w:sz w:val="18"/>
                <w:szCs w:val="18"/>
                <w:color w:val="auto"/>
              </w:rPr>
              <w:t>Sublimit.</w:t>
            </w:r>
          </w:p>
        </w:tc>
        <w:tc>
          <w:tcPr>
            <w:tcW w:w="2120" w:type="dxa"/>
            <w:vAlign w:val="bottom"/>
            <w:tcBorders>
              <w:right w:val="single" w:sz="8" w:color="231F20"/>
            </w:tcBorders>
          </w:tcPr>
          <w:p>
            <w:pPr>
              <w:spacing w:after="0"/>
              <w:rPr>
                <w:sz w:val="20"/>
                <w:szCs w:val="20"/>
                <w:color w:val="auto"/>
              </w:rPr>
            </w:pPr>
          </w:p>
        </w:tc>
        <w:tc>
          <w:tcPr>
            <w:tcW w:w="2120" w:type="dxa"/>
            <w:vAlign w:val="bottom"/>
            <w:tcBorders>
              <w:right w:val="single" w:sz="8" w:color="231F20"/>
            </w:tcBorders>
          </w:tcPr>
          <w:p>
            <w:pPr>
              <w:spacing w:after="0"/>
              <w:rPr>
                <w:sz w:val="20"/>
                <w:szCs w:val="20"/>
                <w:color w:val="auto"/>
              </w:rPr>
            </w:pPr>
          </w:p>
        </w:tc>
        <w:tc>
          <w:tcPr>
            <w:tcW w:w="480" w:type="dxa"/>
            <w:vAlign w:val="bottom"/>
          </w:tcPr>
          <w:p>
            <w:pPr>
              <w:spacing w:after="0"/>
              <w:rPr>
                <w:sz w:val="20"/>
                <w:szCs w:val="20"/>
                <w:color w:val="auto"/>
              </w:rPr>
            </w:pPr>
          </w:p>
        </w:tc>
        <w:tc>
          <w:tcPr>
            <w:tcW w:w="16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4280" w:type="dxa"/>
            <w:vAlign w:val="bottom"/>
            <w:tcBorders>
              <w:bottom w:val="single" w:sz="8" w:color="231F20"/>
              <w:right w:val="single" w:sz="8" w:color="231F20"/>
            </w:tcBorders>
          </w:tcPr>
          <w:p>
            <w:pPr>
              <w:spacing w:after="0"/>
              <w:rPr>
                <w:sz w:val="2"/>
                <w:szCs w:val="2"/>
                <w:color w:val="auto"/>
              </w:rPr>
            </w:pPr>
          </w:p>
        </w:tc>
        <w:tc>
          <w:tcPr>
            <w:tcW w:w="2120" w:type="dxa"/>
            <w:vAlign w:val="bottom"/>
            <w:tcBorders>
              <w:bottom w:val="single" w:sz="8" w:color="231F20"/>
              <w:right w:val="single" w:sz="8" w:color="231F20"/>
            </w:tcBorders>
          </w:tcPr>
          <w:p>
            <w:pPr>
              <w:spacing w:after="0"/>
              <w:rPr>
                <w:sz w:val="2"/>
                <w:szCs w:val="2"/>
                <w:color w:val="auto"/>
              </w:rPr>
            </w:pPr>
          </w:p>
        </w:tc>
        <w:tc>
          <w:tcPr>
            <w:tcW w:w="2120" w:type="dxa"/>
            <w:vAlign w:val="bottom"/>
            <w:tcBorders>
              <w:bottom w:val="single" w:sz="8" w:color="231F20"/>
              <w:right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164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60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428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To approve and confirm the 2024 Xiaomi Framework</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1,829,981,448</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203,910</w:t>
            </w:r>
          </w:p>
        </w:tc>
        <w:tc>
          <w:tcPr>
            <w:tcW w:w="480" w:type="dxa"/>
            <w:vAlign w:val="bottom"/>
          </w:tcPr>
          <w:p>
            <w:pPr>
              <w:spacing w:after="0"/>
              <w:rPr>
                <w:sz w:val="22"/>
                <w:szCs w:val="22"/>
                <w:color w:val="auto"/>
              </w:rPr>
            </w:pPr>
          </w:p>
        </w:tc>
        <w:tc>
          <w:tcPr>
            <w:tcW w:w="1640" w:type="dxa"/>
            <w:vAlign w:val="bottom"/>
            <w:tcBorders>
              <w:right w:val="single" w:sz="8" w:color="231F20"/>
            </w:tcBorders>
          </w:tcPr>
          <w:p>
            <w:pPr>
              <w:jc w:val="center"/>
              <w:ind w:right="410"/>
              <w:spacing w:after="0"/>
              <w:rPr>
                <w:sz w:val="20"/>
                <w:szCs w:val="20"/>
                <w:color w:val="auto"/>
              </w:rPr>
            </w:pPr>
            <w:r>
              <w:rPr>
                <w:rFonts w:ascii="Times New Roman" w:cs="Times New Roman" w:eastAsia="Times New Roman" w:hAnsi="Times New Roman"/>
                <w:sz w:val="18"/>
                <w:szCs w:val="18"/>
                <w:color w:val="auto"/>
              </w:rPr>
              <w:t>82,185</w:t>
            </w: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428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Agreement and the proposed revised annual caps for the</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7"/>
              </w:rPr>
              <w:t>(99.99%)</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(0.01%)</w:t>
            </w: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428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two years of 2026 and 2027 for the provision of cloud</w:t>
            </w:r>
          </w:p>
        </w:tc>
        <w:tc>
          <w:tcPr>
            <w:tcW w:w="212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428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services contemplated thereunder.</w:t>
            </w:r>
          </w:p>
        </w:tc>
        <w:tc>
          <w:tcPr>
            <w:tcW w:w="2120" w:type="dxa"/>
            <w:vAlign w:val="bottom"/>
            <w:tcBorders>
              <w:right w:val="single" w:sz="8" w:color="231F20"/>
            </w:tcBorders>
          </w:tcPr>
          <w:p>
            <w:pPr>
              <w:spacing w:after="0"/>
              <w:rPr>
                <w:sz w:val="20"/>
                <w:szCs w:val="20"/>
                <w:color w:val="auto"/>
              </w:rPr>
            </w:pPr>
          </w:p>
        </w:tc>
        <w:tc>
          <w:tcPr>
            <w:tcW w:w="2120" w:type="dxa"/>
            <w:vAlign w:val="bottom"/>
            <w:tcBorders>
              <w:right w:val="single" w:sz="8" w:color="231F20"/>
            </w:tcBorders>
          </w:tcPr>
          <w:p>
            <w:pPr>
              <w:spacing w:after="0"/>
              <w:rPr>
                <w:sz w:val="20"/>
                <w:szCs w:val="20"/>
                <w:color w:val="auto"/>
              </w:rPr>
            </w:pPr>
          </w:p>
        </w:tc>
        <w:tc>
          <w:tcPr>
            <w:tcW w:w="480" w:type="dxa"/>
            <w:vAlign w:val="bottom"/>
          </w:tcPr>
          <w:p>
            <w:pPr>
              <w:spacing w:after="0"/>
              <w:rPr>
                <w:sz w:val="20"/>
                <w:szCs w:val="20"/>
                <w:color w:val="auto"/>
              </w:rPr>
            </w:pPr>
          </w:p>
        </w:tc>
        <w:tc>
          <w:tcPr>
            <w:tcW w:w="16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4280" w:type="dxa"/>
            <w:vAlign w:val="bottom"/>
            <w:tcBorders>
              <w:bottom w:val="single" w:sz="8" w:color="231F20"/>
              <w:right w:val="single" w:sz="8" w:color="231F20"/>
            </w:tcBorders>
          </w:tcPr>
          <w:p>
            <w:pPr>
              <w:spacing w:after="0"/>
              <w:rPr>
                <w:sz w:val="2"/>
                <w:szCs w:val="2"/>
                <w:color w:val="auto"/>
              </w:rPr>
            </w:pPr>
          </w:p>
        </w:tc>
        <w:tc>
          <w:tcPr>
            <w:tcW w:w="2120" w:type="dxa"/>
            <w:vAlign w:val="bottom"/>
            <w:tcBorders>
              <w:bottom w:val="single" w:sz="8" w:color="231F20"/>
              <w:right w:val="single" w:sz="8" w:color="231F20"/>
            </w:tcBorders>
          </w:tcPr>
          <w:p>
            <w:pPr>
              <w:spacing w:after="0"/>
              <w:rPr>
                <w:sz w:val="2"/>
                <w:szCs w:val="2"/>
                <w:color w:val="auto"/>
              </w:rPr>
            </w:pPr>
          </w:p>
        </w:tc>
        <w:tc>
          <w:tcPr>
            <w:tcW w:w="2120" w:type="dxa"/>
            <w:vAlign w:val="bottom"/>
            <w:tcBorders>
              <w:bottom w:val="single" w:sz="8" w:color="231F20"/>
              <w:right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164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60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428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To approve and confirm the 2025 Xiaomi Cooperation</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1,830,011,868</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204,870</w:t>
            </w:r>
          </w:p>
        </w:tc>
        <w:tc>
          <w:tcPr>
            <w:tcW w:w="480" w:type="dxa"/>
            <w:vAlign w:val="bottom"/>
          </w:tcPr>
          <w:p>
            <w:pPr>
              <w:spacing w:after="0"/>
              <w:rPr>
                <w:sz w:val="22"/>
                <w:szCs w:val="22"/>
                <w:color w:val="auto"/>
              </w:rPr>
            </w:pPr>
          </w:p>
        </w:tc>
        <w:tc>
          <w:tcPr>
            <w:tcW w:w="1640" w:type="dxa"/>
            <w:vAlign w:val="bottom"/>
            <w:tcBorders>
              <w:right w:val="single" w:sz="8" w:color="231F20"/>
            </w:tcBorders>
          </w:tcPr>
          <w:p>
            <w:pPr>
              <w:jc w:val="center"/>
              <w:ind w:right="410"/>
              <w:spacing w:after="0"/>
              <w:rPr>
                <w:sz w:val="20"/>
                <w:szCs w:val="20"/>
                <w:color w:val="auto"/>
              </w:rPr>
            </w:pPr>
            <w:r>
              <w:rPr>
                <w:rFonts w:ascii="Times New Roman" w:cs="Times New Roman" w:eastAsia="Times New Roman" w:hAnsi="Times New Roman"/>
                <w:sz w:val="18"/>
                <w:szCs w:val="18"/>
                <w:color w:val="auto"/>
              </w:rPr>
              <w:t>50,790</w:t>
            </w: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428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Framework   Agreement   (as   amended   by   the</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7"/>
              </w:rPr>
              <w:t>(99.99%)</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(0.01%)</w:t>
            </w: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428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Supplemental Agreement) and the proposed revised</w:t>
            </w:r>
          </w:p>
        </w:tc>
        <w:tc>
          <w:tcPr>
            <w:tcW w:w="212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428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annual cap and/ or proposed annual cap for the two</w:t>
            </w:r>
          </w:p>
        </w:tc>
        <w:tc>
          <w:tcPr>
            <w:tcW w:w="212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428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years of 2026 and 2027 for the procurement of hardware</w:t>
            </w:r>
          </w:p>
        </w:tc>
        <w:tc>
          <w:tcPr>
            <w:tcW w:w="212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428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auto"/>
              </w:rPr>
              <w:t>equipment contemplated thereunder.</w:t>
            </w:r>
          </w:p>
        </w:tc>
        <w:tc>
          <w:tcPr>
            <w:tcW w:w="2120" w:type="dxa"/>
            <w:vAlign w:val="bottom"/>
            <w:tcBorders>
              <w:right w:val="single" w:sz="8" w:color="231F20"/>
            </w:tcBorders>
          </w:tcPr>
          <w:p>
            <w:pPr>
              <w:spacing w:after="0"/>
              <w:rPr>
                <w:sz w:val="20"/>
                <w:szCs w:val="20"/>
                <w:color w:val="auto"/>
              </w:rPr>
            </w:pPr>
          </w:p>
        </w:tc>
        <w:tc>
          <w:tcPr>
            <w:tcW w:w="2120" w:type="dxa"/>
            <w:vAlign w:val="bottom"/>
            <w:tcBorders>
              <w:right w:val="single" w:sz="8" w:color="231F20"/>
            </w:tcBorders>
          </w:tcPr>
          <w:p>
            <w:pPr>
              <w:spacing w:after="0"/>
              <w:rPr>
                <w:sz w:val="20"/>
                <w:szCs w:val="20"/>
                <w:color w:val="auto"/>
              </w:rPr>
            </w:pPr>
          </w:p>
        </w:tc>
        <w:tc>
          <w:tcPr>
            <w:tcW w:w="480" w:type="dxa"/>
            <w:vAlign w:val="bottom"/>
          </w:tcPr>
          <w:p>
            <w:pPr>
              <w:spacing w:after="0"/>
              <w:rPr>
                <w:sz w:val="20"/>
                <w:szCs w:val="20"/>
                <w:color w:val="auto"/>
              </w:rPr>
            </w:pPr>
          </w:p>
        </w:tc>
        <w:tc>
          <w:tcPr>
            <w:tcW w:w="16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4280" w:type="dxa"/>
            <w:vAlign w:val="bottom"/>
            <w:tcBorders>
              <w:bottom w:val="single" w:sz="8" w:color="231F20"/>
              <w:right w:val="single" w:sz="8" w:color="231F20"/>
            </w:tcBorders>
          </w:tcPr>
          <w:p>
            <w:pPr>
              <w:spacing w:after="0"/>
              <w:rPr>
                <w:sz w:val="2"/>
                <w:szCs w:val="2"/>
                <w:color w:val="auto"/>
              </w:rPr>
            </w:pPr>
          </w:p>
        </w:tc>
        <w:tc>
          <w:tcPr>
            <w:tcW w:w="2120" w:type="dxa"/>
            <w:vAlign w:val="bottom"/>
            <w:tcBorders>
              <w:bottom w:val="single" w:sz="8" w:color="231F20"/>
              <w:right w:val="single" w:sz="8" w:color="231F20"/>
            </w:tcBorders>
          </w:tcPr>
          <w:p>
            <w:pPr>
              <w:spacing w:after="0"/>
              <w:rPr>
                <w:sz w:val="2"/>
                <w:szCs w:val="2"/>
                <w:color w:val="auto"/>
              </w:rPr>
            </w:pPr>
          </w:p>
        </w:tc>
        <w:tc>
          <w:tcPr>
            <w:tcW w:w="2120" w:type="dxa"/>
            <w:vAlign w:val="bottom"/>
            <w:tcBorders>
              <w:bottom w:val="single" w:sz="8" w:color="231F20"/>
              <w:right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164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668"/>
        </w:trPr>
        <w:tc>
          <w:tcPr>
            <w:tcW w:w="6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3</w:t>
            </w:r>
          </w:p>
        </w:tc>
        <w:tc>
          <w:tcPr>
            <w:tcW w:w="2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0"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600" w:type="dxa"/>
            <w:vAlign w:val="bottom"/>
            <w:tcBorders>
              <w:top w:val="single" w:sz="8" w:color="231F20"/>
              <w:left w:val="single" w:sz="8" w:color="231F20"/>
            </w:tcBorders>
          </w:tcPr>
          <w:p>
            <w:pPr>
              <w:spacing w:after="0"/>
              <w:rPr>
                <w:sz w:val="23"/>
                <w:szCs w:val="23"/>
                <w:color w:val="auto"/>
              </w:rPr>
            </w:pPr>
          </w:p>
        </w:tc>
        <w:tc>
          <w:tcPr>
            <w:tcW w:w="3440" w:type="dxa"/>
            <w:vAlign w:val="bottom"/>
            <w:tcBorders>
              <w:top w:val="single" w:sz="8" w:color="231F20"/>
            </w:tcBorders>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ORDINARY RESOLUTIONS</w:t>
            </w:r>
          </w:p>
        </w:tc>
        <w:tc>
          <w:tcPr>
            <w:tcW w:w="820" w:type="dxa"/>
            <w:vAlign w:val="bottom"/>
            <w:tcBorders>
              <w:top w:val="single" w:sz="8" w:color="231F20"/>
              <w:right w:val="single" w:sz="8" w:color="231F20"/>
            </w:tcBorders>
          </w:tcPr>
          <w:p>
            <w:pPr>
              <w:spacing w:after="0"/>
              <w:rPr>
                <w:sz w:val="23"/>
                <w:szCs w:val="23"/>
                <w:color w:val="auto"/>
              </w:rPr>
            </w:pPr>
          </w:p>
        </w:tc>
        <w:tc>
          <w:tcPr>
            <w:tcW w:w="1800" w:type="dxa"/>
            <w:vAlign w:val="bottom"/>
            <w:tcBorders>
              <w:top w:val="single" w:sz="8" w:color="231F20"/>
            </w:tcBorders>
          </w:tcPr>
          <w:p>
            <w:pPr>
              <w:spacing w:after="0"/>
              <w:rPr>
                <w:sz w:val="23"/>
                <w:szCs w:val="23"/>
                <w:color w:val="auto"/>
              </w:rPr>
            </w:pPr>
          </w:p>
        </w:tc>
        <w:tc>
          <w:tcPr>
            <w:tcW w:w="340" w:type="dxa"/>
            <w:vAlign w:val="bottom"/>
            <w:tcBorders>
              <w:top w:val="single" w:sz="8" w:color="231F20"/>
            </w:tcBorders>
          </w:tcPr>
          <w:p>
            <w:pPr>
              <w:spacing w:after="0"/>
              <w:rPr>
                <w:sz w:val="23"/>
                <w:szCs w:val="23"/>
                <w:color w:val="auto"/>
              </w:rPr>
            </w:pPr>
          </w:p>
        </w:tc>
        <w:tc>
          <w:tcPr>
            <w:tcW w:w="2600" w:type="dxa"/>
            <w:vAlign w:val="bottom"/>
            <w:tcBorders>
              <w:top w:val="single" w:sz="8" w:color="231F20"/>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NUMBER OF VOTES CAST</w:t>
            </w:r>
          </w:p>
        </w:tc>
        <w:tc>
          <w:tcPr>
            <w:tcW w:w="1640" w:type="dxa"/>
            <w:vAlign w:val="bottom"/>
            <w:tcBorders>
              <w:top w:val="single" w:sz="8" w:color="231F20"/>
              <w:right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600" w:type="dxa"/>
            <w:vAlign w:val="bottom"/>
            <w:tcBorders>
              <w:left w:val="single" w:sz="8" w:color="231F20"/>
            </w:tcBorders>
          </w:tcPr>
          <w:p>
            <w:pPr>
              <w:spacing w:after="0"/>
              <w:rPr>
                <w:sz w:val="14"/>
                <w:szCs w:val="14"/>
                <w:color w:val="auto"/>
              </w:rPr>
            </w:pPr>
          </w:p>
        </w:tc>
        <w:tc>
          <w:tcPr>
            <w:tcW w:w="3440" w:type="dxa"/>
            <w:vAlign w:val="bottom"/>
            <w:vMerge w:val="continue"/>
          </w:tcPr>
          <w:p>
            <w:pPr>
              <w:spacing w:after="0"/>
              <w:rPr>
                <w:sz w:val="14"/>
                <w:szCs w:val="14"/>
                <w:color w:val="auto"/>
              </w:rPr>
            </w:pPr>
          </w:p>
        </w:tc>
        <w:tc>
          <w:tcPr>
            <w:tcW w:w="820" w:type="dxa"/>
            <w:vAlign w:val="bottom"/>
            <w:tcBorders>
              <w:right w:val="single" w:sz="8" w:color="231F20"/>
            </w:tcBorders>
          </w:tcPr>
          <w:p>
            <w:pPr>
              <w:spacing w:after="0"/>
              <w:rPr>
                <w:sz w:val="14"/>
                <w:szCs w:val="14"/>
                <w:color w:val="auto"/>
              </w:rPr>
            </w:pPr>
          </w:p>
        </w:tc>
        <w:tc>
          <w:tcPr>
            <w:tcW w:w="1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AND PERCENTAGE (%)</w:t>
            </w:r>
          </w:p>
        </w:tc>
        <w:tc>
          <w:tcPr>
            <w:tcW w:w="1640" w:type="dxa"/>
            <w:vAlign w:val="bottom"/>
            <w:tcBorders>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0" w:type="dxa"/>
            <w:vAlign w:val="bottom"/>
            <w:tcBorders>
              <w:left w:val="single" w:sz="8" w:color="231F20"/>
            </w:tcBorders>
          </w:tcPr>
          <w:p>
            <w:pPr>
              <w:spacing w:after="0"/>
              <w:rPr>
                <w:sz w:val="5"/>
                <w:szCs w:val="5"/>
                <w:color w:val="auto"/>
              </w:rPr>
            </w:pPr>
          </w:p>
        </w:tc>
        <w:tc>
          <w:tcPr>
            <w:tcW w:w="3440" w:type="dxa"/>
            <w:vAlign w:val="bottom"/>
          </w:tcPr>
          <w:p>
            <w:pPr>
              <w:spacing w:after="0"/>
              <w:rPr>
                <w:sz w:val="5"/>
                <w:szCs w:val="5"/>
                <w:color w:val="auto"/>
              </w:rPr>
            </w:pPr>
          </w:p>
        </w:tc>
        <w:tc>
          <w:tcPr>
            <w:tcW w:w="820" w:type="dxa"/>
            <w:vAlign w:val="bottom"/>
            <w:tcBorders>
              <w:right w:val="single" w:sz="8" w:color="231F20"/>
            </w:tcBorders>
          </w:tcPr>
          <w:p>
            <w:pPr>
              <w:spacing w:after="0"/>
              <w:rPr>
                <w:sz w:val="5"/>
                <w:szCs w:val="5"/>
                <w:color w:val="auto"/>
              </w:rPr>
            </w:pPr>
          </w:p>
        </w:tc>
        <w:tc>
          <w:tcPr>
            <w:tcW w:w="1800" w:type="dxa"/>
            <w:vAlign w:val="bottom"/>
            <w:tcBorders>
              <w:bottom w:val="single" w:sz="8" w:color="231F20"/>
            </w:tcBorders>
          </w:tcPr>
          <w:p>
            <w:pPr>
              <w:spacing w:after="0"/>
              <w:rPr>
                <w:sz w:val="5"/>
                <w:szCs w:val="5"/>
                <w:color w:val="auto"/>
              </w:rPr>
            </w:pPr>
          </w:p>
        </w:tc>
        <w:tc>
          <w:tcPr>
            <w:tcW w:w="340" w:type="dxa"/>
            <w:vAlign w:val="bottom"/>
            <w:tcBorders>
              <w:bottom w:val="single" w:sz="8" w:color="231F20"/>
            </w:tcBorders>
          </w:tcPr>
          <w:p>
            <w:pPr>
              <w:spacing w:after="0"/>
              <w:rPr>
                <w:sz w:val="5"/>
                <w:szCs w:val="5"/>
                <w:color w:val="auto"/>
              </w:rPr>
            </w:pPr>
          </w:p>
        </w:tc>
        <w:tc>
          <w:tcPr>
            <w:tcW w:w="2600" w:type="dxa"/>
            <w:vAlign w:val="bottom"/>
            <w:tcBorders>
              <w:bottom w:val="single" w:sz="8" w:color="231F20"/>
            </w:tcBorders>
            <w:gridSpan w:val="2"/>
            <w:vMerge w:val="continue"/>
          </w:tcPr>
          <w:p>
            <w:pPr>
              <w:spacing w:after="0"/>
              <w:rPr>
                <w:sz w:val="5"/>
                <w:szCs w:val="5"/>
                <w:color w:val="auto"/>
              </w:rPr>
            </w:pPr>
          </w:p>
        </w:tc>
        <w:tc>
          <w:tcPr>
            <w:tcW w:w="1640" w:type="dxa"/>
            <w:vAlign w:val="bottom"/>
            <w:tcBorders>
              <w:bottom w:val="single" w:sz="8" w:color="231F20"/>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600" w:type="dxa"/>
            <w:vAlign w:val="bottom"/>
            <w:tcBorders>
              <w:left w:val="single" w:sz="8" w:color="231F20"/>
              <w:bottom w:val="single" w:sz="8" w:color="231F20"/>
            </w:tcBorders>
          </w:tcPr>
          <w:p>
            <w:pPr>
              <w:spacing w:after="0"/>
              <w:rPr>
                <w:sz w:val="24"/>
                <w:szCs w:val="24"/>
                <w:color w:val="auto"/>
              </w:rPr>
            </w:pPr>
          </w:p>
        </w:tc>
        <w:tc>
          <w:tcPr>
            <w:tcW w:w="3440" w:type="dxa"/>
            <w:vAlign w:val="bottom"/>
            <w:tcBorders>
              <w:bottom w:val="single" w:sz="8" w:color="231F20"/>
            </w:tcBorders>
          </w:tcPr>
          <w:p>
            <w:pPr>
              <w:spacing w:after="0"/>
              <w:rPr>
                <w:sz w:val="24"/>
                <w:szCs w:val="24"/>
                <w:color w:val="auto"/>
              </w:rPr>
            </w:pPr>
          </w:p>
        </w:tc>
        <w:tc>
          <w:tcPr>
            <w:tcW w:w="820" w:type="dxa"/>
            <w:vAlign w:val="bottom"/>
            <w:tcBorders>
              <w:bottom w:val="single" w:sz="8" w:color="231F20"/>
              <w:right w:val="single" w:sz="8" w:color="231F20"/>
            </w:tcBorders>
          </w:tcPr>
          <w:p>
            <w:pPr>
              <w:spacing w:after="0"/>
              <w:rPr>
                <w:sz w:val="24"/>
                <w:szCs w:val="24"/>
                <w:color w:val="auto"/>
              </w:rPr>
            </w:pPr>
          </w:p>
        </w:tc>
        <w:tc>
          <w:tcPr>
            <w:tcW w:w="1800" w:type="dxa"/>
            <w:vAlign w:val="bottom"/>
            <w:tcBorders>
              <w:bottom w:val="single" w:sz="8" w:color="231F20"/>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FOR</w:t>
            </w:r>
          </w:p>
        </w:tc>
        <w:tc>
          <w:tcPr>
            <w:tcW w:w="340" w:type="dxa"/>
            <w:vAlign w:val="bottom"/>
            <w:tcBorders>
              <w:bottom w:val="single" w:sz="8" w:color="231F20"/>
              <w:right w:val="single" w:sz="8" w:color="231F20"/>
            </w:tcBorders>
          </w:tcPr>
          <w:p>
            <w:pPr>
              <w:spacing w:after="0"/>
              <w:rPr>
                <w:sz w:val="24"/>
                <w:szCs w:val="24"/>
                <w:color w:val="auto"/>
              </w:rPr>
            </w:pPr>
          </w:p>
        </w:tc>
        <w:tc>
          <w:tcPr>
            <w:tcW w:w="21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480" w:type="dxa"/>
            <w:vAlign w:val="bottom"/>
            <w:tcBorders>
              <w:bottom w:val="single" w:sz="8" w:color="231F20"/>
            </w:tcBorders>
          </w:tcPr>
          <w:p>
            <w:pPr>
              <w:spacing w:after="0"/>
              <w:rPr>
                <w:sz w:val="24"/>
                <w:szCs w:val="24"/>
                <w:color w:val="auto"/>
              </w:rPr>
            </w:pPr>
          </w:p>
        </w:tc>
        <w:tc>
          <w:tcPr>
            <w:tcW w:w="1640" w:type="dxa"/>
            <w:vAlign w:val="bottom"/>
            <w:tcBorders>
              <w:bottom w:val="single" w:sz="8" w:color="231F20"/>
              <w:right w:val="single" w:sz="8" w:color="231F20"/>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0" w:type="dxa"/>
            <w:vAlign w:val="bottom"/>
          </w:tcPr>
          <w:p>
            <w:pPr>
              <w:spacing w:after="0"/>
              <w:rPr>
                <w:sz w:val="1"/>
                <w:szCs w:val="1"/>
                <w:color w:val="auto"/>
              </w:rPr>
            </w:pPr>
          </w:p>
        </w:tc>
      </w:tr>
      <w:tr>
        <w:trPr>
          <w:trHeight w:val="191"/>
        </w:trPr>
        <w:tc>
          <w:tcPr>
            <w:tcW w:w="600" w:type="dxa"/>
            <w:vAlign w:val="bottom"/>
            <w:tcBorders>
              <w:left w:val="single" w:sz="8" w:color="231F20"/>
              <w:right w:val="single" w:sz="8" w:color="231F20"/>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34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To authorize  any  one  executive  Director</w:t>
            </w:r>
          </w:p>
        </w:tc>
        <w:tc>
          <w:tcPr>
            <w:tcW w:w="820" w:type="dxa"/>
            <w:vAlign w:val="bottom"/>
            <w:tcBorders>
              <w:right w:val="single" w:sz="8" w:color="231F20"/>
            </w:tcBorders>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rPr>
              <w:t>(and  its</w:t>
            </w:r>
          </w:p>
        </w:tc>
        <w:tc>
          <w:tcPr>
            <w:tcW w:w="1800" w:type="dxa"/>
            <w:vAlign w:val="bottom"/>
            <w:vMerge w:val="restart"/>
          </w:tcPr>
          <w:p>
            <w:pPr>
              <w:jc w:val="center"/>
              <w:ind w:left="230"/>
              <w:spacing w:after="0"/>
              <w:rPr>
                <w:sz w:val="20"/>
                <w:szCs w:val="20"/>
                <w:color w:val="auto"/>
              </w:rPr>
            </w:pPr>
            <w:r>
              <w:rPr>
                <w:rFonts w:ascii="Times New Roman" w:cs="Times New Roman" w:eastAsia="Times New Roman" w:hAnsi="Times New Roman"/>
                <w:sz w:val="18"/>
                <w:szCs w:val="18"/>
                <w:color w:val="auto"/>
              </w:rPr>
              <w:t>1,829,820,078</w:t>
            </w:r>
          </w:p>
        </w:tc>
        <w:tc>
          <w:tcPr>
            <w:tcW w:w="340" w:type="dxa"/>
            <w:vAlign w:val="bottom"/>
            <w:tcBorders>
              <w:right w:val="single" w:sz="8" w:color="231F20"/>
            </w:tcBorders>
          </w:tcPr>
          <w:p>
            <w:pPr>
              <w:spacing w:after="0"/>
              <w:rPr>
                <w:sz w:val="16"/>
                <w:szCs w:val="16"/>
                <w:color w:val="auto"/>
              </w:rPr>
            </w:pPr>
          </w:p>
        </w:tc>
        <w:tc>
          <w:tcPr>
            <w:tcW w:w="21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358,410</w:t>
            </w:r>
          </w:p>
        </w:tc>
        <w:tc>
          <w:tcPr>
            <w:tcW w:w="480" w:type="dxa"/>
            <w:vAlign w:val="bottom"/>
          </w:tcPr>
          <w:p>
            <w:pPr>
              <w:spacing w:after="0"/>
              <w:rPr>
                <w:sz w:val="16"/>
                <w:szCs w:val="16"/>
                <w:color w:val="auto"/>
              </w:rPr>
            </w:pPr>
          </w:p>
        </w:tc>
        <w:tc>
          <w:tcPr>
            <w:tcW w:w="1640" w:type="dxa"/>
            <w:vAlign w:val="bottom"/>
            <w:tcBorders>
              <w:right w:val="single" w:sz="8" w:color="231F20"/>
            </w:tcBorders>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89,040</w:t>
            </w:r>
          </w:p>
        </w:tc>
        <w:tc>
          <w:tcPr>
            <w:tcW w:w="0" w:type="dxa"/>
            <w:vAlign w:val="bottom"/>
          </w:tcPr>
          <w:p>
            <w:pPr>
              <w:spacing w:after="0"/>
              <w:rPr>
                <w:sz w:val="1"/>
                <w:szCs w:val="1"/>
                <w:color w:val="auto"/>
              </w:rPr>
            </w:pPr>
          </w:p>
        </w:tc>
      </w:tr>
      <w:tr>
        <w:trPr>
          <w:trHeight w:val="68"/>
        </w:trPr>
        <w:tc>
          <w:tcPr>
            <w:tcW w:w="600" w:type="dxa"/>
            <w:vAlign w:val="bottom"/>
            <w:tcBorders>
              <w:left w:val="single" w:sz="8" w:color="231F20"/>
              <w:right w:val="single" w:sz="8" w:color="231F20"/>
            </w:tcBorders>
            <w:vMerge w:val="continue"/>
          </w:tcPr>
          <w:p>
            <w:pPr>
              <w:spacing w:after="0"/>
              <w:rPr>
                <w:sz w:val="5"/>
                <w:szCs w:val="5"/>
                <w:color w:val="auto"/>
              </w:rPr>
            </w:pPr>
          </w:p>
        </w:tc>
        <w:tc>
          <w:tcPr>
            <w:tcW w:w="34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authorized person(s)) to (i) determine the</w:t>
            </w:r>
          </w:p>
        </w:tc>
        <w:tc>
          <w:tcPr>
            <w:tcW w:w="8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relevant</w:t>
            </w:r>
          </w:p>
        </w:tc>
        <w:tc>
          <w:tcPr>
            <w:tcW w:w="1800" w:type="dxa"/>
            <w:vAlign w:val="bottom"/>
            <w:vMerge w:val="continue"/>
          </w:tcPr>
          <w:p>
            <w:pPr>
              <w:spacing w:after="0"/>
              <w:rPr>
                <w:sz w:val="5"/>
                <w:szCs w:val="5"/>
                <w:color w:val="auto"/>
              </w:rPr>
            </w:pPr>
          </w:p>
        </w:tc>
        <w:tc>
          <w:tcPr>
            <w:tcW w:w="340" w:type="dxa"/>
            <w:vAlign w:val="bottom"/>
            <w:tcBorders>
              <w:right w:val="single" w:sz="8" w:color="231F20"/>
            </w:tcBorders>
          </w:tcPr>
          <w:p>
            <w:pPr>
              <w:spacing w:after="0"/>
              <w:rPr>
                <w:sz w:val="5"/>
                <w:szCs w:val="5"/>
                <w:color w:val="auto"/>
              </w:rPr>
            </w:pPr>
          </w:p>
        </w:tc>
        <w:tc>
          <w:tcPr>
            <w:tcW w:w="2120" w:type="dxa"/>
            <w:vAlign w:val="bottom"/>
            <w:tcBorders>
              <w:right w:val="single" w:sz="8" w:color="231F20"/>
            </w:tcBorders>
            <w:vMerge w:val="continue"/>
          </w:tcPr>
          <w:p>
            <w:pPr>
              <w:spacing w:after="0"/>
              <w:rPr>
                <w:sz w:val="5"/>
                <w:szCs w:val="5"/>
                <w:color w:val="auto"/>
              </w:rPr>
            </w:pPr>
          </w:p>
        </w:tc>
        <w:tc>
          <w:tcPr>
            <w:tcW w:w="480" w:type="dxa"/>
            <w:vAlign w:val="bottom"/>
          </w:tcPr>
          <w:p>
            <w:pPr>
              <w:spacing w:after="0"/>
              <w:rPr>
                <w:sz w:val="5"/>
                <w:szCs w:val="5"/>
                <w:color w:val="auto"/>
              </w:rPr>
            </w:pPr>
          </w:p>
        </w:tc>
        <w:tc>
          <w:tcPr>
            <w:tcW w:w="1640" w:type="dxa"/>
            <w:vAlign w:val="bottom"/>
            <w:tcBorders>
              <w:right w:val="single" w:sz="8" w:color="231F20"/>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600" w:type="dxa"/>
            <w:vAlign w:val="bottom"/>
            <w:tcBorders>
              <w:left w:val="single" w:sz="8" w:color="231F20"/>
              <w:right w:val="single" w:sz="8" w:color="231F20"/>
            </w:tcBorders>
          </w:tcPr>
          <w:p>
            <w:pPr>
              <w:spacing w:after="0"/>
              <w:rPr>
                <w:sz w:val="12"/>
                <w:szCs w:val="12"/>
                <w:color w:val="auto"/>
              </w:rPr>
            </w:pPr>
          </w:p>
        </w:tc>
        <w:tc>
          <w:tcPr>
            <w:tcW w:w="3440" w:type="dxa"/>
            <w:vAlign w:val="bottom"/>
            <w:vMerge w:val="continue"/>
          </w:tcPr>
          <w:p>
            <w:pPr>
              <w:spacing w:after="0"/>
              <w:rPr>
                <w:sz w:val="12"/>
                <w:szCs w:val="12"/>
                <w:color w:val="auto"/>
              </w:rPr>
            </w:pPr>
          </w:p>
        </w:tc>
        <w:tc>
          <w:tcPr>
            <w:tcW w:w="820" w:type="dxa"/>
            <w:vAlign w:val="bottom"/>
            <w:tcBorders>
              <w:right w:val="single" w:sz="8" w:color="231F20"/>
            </w:tcBorders>
            <w:vMerge w:val="continue"/>
          </w:tcPr>
          <w:p>
            <w:pPr>
              <w:spacing w:after="0"/>
              <w:rPr>
                <w:sz w:val="12"/>
                <w:szCs w:val="12"/>
                <w:color w:val="auto"/>
              </w:rPr>
            </w:pPr>
          </w:p>
        </w:tc>
        <w:tc>
          <w:tcPr>
            <w:tcW w:w="1800" w:type="dxa"/>
            <w:vAlign w:val="bottom"/>
            <w:vMerge w:val="restart"/>
          </w:tcPr>
          <w:p>
            <w:pPr>
              <w:jc w:val="center"/>
              <w:ind w:left="230"/>
              <w:spacing w:after="0"/>
              <w:rPr>
                <w:sz w:val="20"/>
                <w:szCs w:val="20"/>
                <w:color w:val="auto"/>
              </w:rPr>
            </w:pPr>
            <w:r>
              <w:rPr>
                <w:rFonts w:ascii="Times New Roman" w:cs="Times New Roman" w:eastAsia="Times New Roman" w:hAnsi="Times New Roman"/>
                <w:sz w:val="18"/>
                <w:szCs w:val="18"/>
                <w:color w:val="auto"/>
              </w:rPr>
              <w:t>(99.98%)</w:t>
            </w:r>
          </w:p>
        </w:tc>
        <w:tc>
          <w:tcPr>
            <w:tcW w:w="340" w:type="dxa"/>
            <w:vAlign w:val="bottom"/>
            <w:tcBorders>
              <w:right w:val="single" w:sz="8" w:color="231F20"/>
            </w:tcBorders>
          </w:tcPr>
          <w:p>
            <w:pPr>
              <w:spacing w:after="0"/>
              <w:rPr>
                <w:sz w:val="12"/>
                <w:szCs w:val="12"/>
                <w:color w:val="auto"/>
              </w:rPr>
            </w:pPr>
          </w:p>
        </w:tc>
        <w:tc>
          <w:tcPr>
            <w:tcW w:w="212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(0.02%)</w:t>
            </w:r>
          </w:p>
        </w:tc>
        <w:tc>
          <w:tcPr>
            <w:tcW w:w="480" w:type="dxa"/>
            <w:vAlign w:val="bottom"/>
          </w:tcPr>
          <w:p>
            <w:pPr>
              <w:spacing w:after="0"/>
              <w:rPr>
                <w:sz w:val="12"/>
                <w:szCs w:val="12"/>
                <w:color w:val="auto"/>
              </w:rPr>
            </w:pPr>
          </w:p>
        </w:tc>
        <w:tc>
          <w:tcPr>
            <w:tcW w:w="1640" w:type="dxa"/>
            <w:vAlign w:val="bottom"/>
            <w:tcBorders>
              <w:right w:val="single" w:sz="8" w:color="231F20"/>
            </w:tcBorders>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600" w:type="dxa"/>
            <w:vAlign w:val="bottom"/>
            <w:tcBorders>
              <w:left w:val="single" w:sz="8" w:color="231F20"/>
              <w:right w:val="single" w:sz="8" w:color="231F20"/>
            </w:tcBorders>
          </w:tcPr>
          <w:p>
            <w:pPr>
              <w:spacing w:after="0"/>
              <w:rPr>
                <w:sz w:val="7"/>
                <w:szCs w:val="7"/>
                <w:color w:val="auto"/>
              </w:rPr>
            </w:pPr>
          </w:p>
        </w:tc>
        <w:tc>
          <w:tcPr>
            <w:tcW w:w="4260" w:type="dxa"/>
            <w:vAlign w:val="bottom"/>
            <w:tcBorders>
              <w:right w:val="single" w:sz="8" w:color="231F20"/>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commercial terms of the 2 0 2 5 Xiaomi Cooperation</w:t>
            </w:r>
          </w:p>
        </w:tc>
        <w:tc>
          <w:tcPr>
            <w:tcW w:w="1800" w:type="dxa"/>
            <w:vAlign w:val="bottom"/>
            <w:vMerge w:val="continue"/>
          </w:tcPr>
          <w:p>
            <w:pPr>
              <w:spacing w:after="0"/>
              <w:rPr>
                <w:sz w:val="7"/>
                <w:szCs w:val="7"/>
                <w:color w:val="auto"/>
              </w:rPr>
            </w:pPr>
          </w:p>
        </w:tc>
        <w:tc>
          <w:tcPr>
            <w:tcW w:w="340" w:type="dxa"/>
            <w:vAlign w:val="bottom"/>
            <w:tcBorders>
              <w:right w:val="single" w:sz="8" w:color="231F20"/>
            </w:tcBorders>
          </w:tcPr>
          <w:p>
            <w:pPr>
              <w:spacing w:after="0"/>
              <w:rPr>
                <w:sz w:val="7"/>
                <w:szCs w:val="7"/>
                <w:color w:val="auto"/>
              </w:rPr>
            </w:pPr>
          </w:p>
        </w:tc>
        <w:tc>
          <w:tcPr>
            <w:tcW w:w="2120" w:type="dxa"/>
            <w:vAlign w:val="bottom"/>
            <w:tcBorders>
              <w:right w:val="single" w:sz="8" w:color="231F20"/>
            </w:tcBorders>
            <w:vMerge w:val="continue"/>
          </w:tcPr>
          <w:p>
            <w:pPr>
              <w:spacing w:after="0"/>
              <w:rPr>
                <w:sz w:val="7"/>
                <w:szCs w:val="7"/>
                <w:color w:val="auto"/>
              </w:rPr>
            </w:pPr>
          </w:p>
        </w:tc>
        <w:tc>
          <w:tcPr>
            <w:tcW w:w="480" w:type="dxa"/>
            <w:vAlign w:val="bottom"/>
          </w:tcPr>
          <w:p>
            <w:pPr>
              <w:spacing w:after="0"/>
              <w:rPr>
                <w:sz w:val="7"/>
                <w:szCs w:val="7"/>
                <w:color w:val="auto"/>
              </w:rPr>
            </w:pPr>
          </w:p>
        </w:tc>
        <w:tc>
          <w:tcPr>
            <w:tcW w:w="1640" w:type="dxa"/>
            <w:vAlign w:val="bottom"/>
            <w:tcBorders>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600" w:type="dxa"/>
            <w:vAlign w:val="bottom"/>
            <w:tcBorders>
              <w:left w:val="single" w:sz="8" w:color="231F20"/>
              <w:right w:val="single" w:sz="8" w:color="231F20"/>
            </w:tcBorders>
          </w:tcPr>
          <w:p>
            <w:pPr>
              <w:spacing w:after="0"/>
              <w:rPr>
                <w:sz w:val="11"/>
                <w:szCs w:val="11"/>
                <w:color w:val="auto"/>
              </w:rPr>
            </w:pPr>
          </w:p>
        </w:tc>
        <w:tc>
          <w:tcPr>
            <w:tcW w:w="4260" w:type="dxa"/>
            <w:vAlign w:val="bottom"/>
            <w:tcBorders>
              <w:right w:val="single" w:sz="8" w:color="231F20"/>
            </w:tcBorders>
            <w:gridSpan w:val="2"/>
            <w:vMerge w:val="continue"/>
          </w:tcPr>
          <w:p>
            <w:pPr>
              <w:spacing w:after="0"/>
              <w:rPr>
                <w:sz w:val="11"/>
                <w:szCs w:val="11"/>
                <w:color w:val="auto"/>
              </w:rPr>
            </w:pPr>
          </w:p>
        </w:tc>
        <w:tc>
          <w:tcPr>
            <w:tcW w:w="1800" w:type="dxa"/>
            <w:vAlign w:val="bottom"/>
          </w:tcPr>
          <w:p>
            <w:pPr>
              <w:spacing w:after="0"/>
              <w:rPr>
                <w:sz w:val="11"/>
                <w:szCs w:val="11"/>
                <w:color w:val="auto"/>
              </w:rPr>
            </w:pPr>
          </w:p>
        </w:tc>
        <w:tc>
          <w:tcPr>
            <w:tcW w:w="340" w:type="dxa"/>
            <w:vAlign w:val="bottom"/>
            <w:tcBorders>
              <w:right w:val="single" w:sz="8" w:color="231F20"/>
            </w:tcBorders>
          </w:tcPr>
          <w:p>
            <w:pPr>
              <w:spacing w:after="0"/>
              <w:rPr>
                <w:sz w:val="11"/>
                <w:szCs w:val="11"/>
                <w:color w:val="auto"/>
              </w:rPr>
            </w:pPr>
          </w:p>
        </w:tc>
        <w:tc>
          <w:tcPr>
            <w:tcW w:w="2120" w:type="dxa"/>
            <w:vAlign w:val="bottom"/>
            <w:tcBorders>
              <w:right w:val="single" w:sz="8" w:color="231F20"/>
            </w:tcBorders>
          </w:tcPr>
          <w:p>
            <w:pPr>
              <w:spacing w:after="0"/>
              <w:rPr>
                <w:sz w:val="11"/>
                <w:szCs w:val="11"/>
                <w:color w:val="auto"/>
              </w:rPr>
            </w:pPr>
          </w:p>
        </w:tc>
        <w:tc>
          <w:tcPr>
            <w:tcW w:w="480" w:type="dxa"/>
            <w:vAlign w:val="bottom"/>
          </w:tcPr>
          <w:p>
            <w:pPr>
              <w:spacing w:after="0"/>
              <w:rPr>
                <w:sz w:val="11"/>
                <w:szCs w:val="11"/>
                <w:color w:val="auto"/>
              </w:rPr>
            </w:pPr>
          </w:p>
        </w:tc>
        <w:tc>
          <w:tcPr>
            <w:tcW w:w="1640" w:type="dxa"/>
            <w:vAlign w:val="bottom"/>
            <w:tcBorders>
              <w:right w:val="single" w:sz="8" w:color="231F20"/>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4260" w:type="dxa"/>
            <w:vAlign w:val="bottom"/>
            <w:tcBorders>
              <w:right w:val="single" w:sz="8" w:color="231F20"/>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Framework   Agreement   (as   amended   by   the</w:t>
            </w:r>
          </w:p>
        </w:tc>
        <w:tc>
          <w:tcPr>
            <w:tcW w:w="1800" w:type="dxa"/>
            <w:vAlign w:val="bottom"/>
          </w:tcPr>
          <w:p>
            <w:pPr>
              <w:spacing w:after="0"/>
              <w:rPr>
                <w:sz w:val="18"/>
                <w:szCs w:val="18"/>
                <w:color w:val="auto"/>
              </w:rPr>
            </w:pPr>
          </w:p>
        </w:tc>
        <w:tc>
          <w:tcPr>
            <w:tcW w:w="34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4260" w:type="dxa"/>
            <w:vAlign w:val="bottom"/>
            <w:tcBorders>
              <w:right w:val="single" w:sz="8" w:color="231F20"/>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Supplemental Agreement), (ii) sign or execute other</w:t>
            </w:r>
          </w:p>
        </w:tc>
        <w:tc>
          <w:tcPr>
            <w:tcW w:w="1800" w:type="dxa"/>
            <w:vAlign w:val="bottom"/>
          </w:tcPr>
          <w:p>
            <w:pPr>
              <w:spacing w:after="0"/>
              <w:rPr>
                <w:sz w:val="18"/>
                <w:szCs w:val="18"/>
                <w:color w:val="auto"/>
              </w:rPr>
            </w:pPr>
          </w:p>
        </w:tc>
        <w:tc>
          <w:tcPr>
            <w:tcW w:w="34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4260" w:type="dxa"/>
            <w:vAlign w:val="bottom"/>
            <w:tcBorders>
              <w:right w:val="single" w:sz="8" w:color="231F20"/>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documents  or  supplemental  agreements  or  deeds</w:t>
            </w:r>
          </w:p>
        </w:tc>
        <w:tc>
          <w:tcPr>
            <w:tcW w:w="1800" w:type="dxa"/>
            <w:vAlign w:val="bottom"/>
          </w:tcPr>
          <w:p>
            <w:pPr>
              <w:spacing w:after="0"/>
              <w:rPr>
                <w:sz w:val="18"/>
                <w:szCs w:val="18"/>
                <w:color w:val="auto"/>
              </w:rPr>
            </w:pPr>
          </w:p>
        </w:tc>
        <w:tc>
          <w:tcPr>
            <w:tcW w:w="34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4260" w:type="dxa"/>
            <w:vAlign w:val="bottom"/>
            <w:tcBorders>
              <w:right w:val="single" w:sz="8" w:color="231F20"/>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relating to the 2 0 2 5 Xiaomi Cooperation Framework</w:t>
            </w:r>
          </w:p>
        </w:tc>
        <w:tc>
          <w:tcPr>
            <w:tcW w:w="1800" w:type="dxa"/>
            <w:vAlign w:val="bottom"/>
          </w:tcPr>
          <w:p>
            <w:pPr>
              <w:spacing w:after="0"/>
              <w:rPr>
                <w:sz w:val="18"/>
                <w:szCs w:val="18"/>
                <w:color w:val="auto"/>
              </w:rPr>
            </w:pPr>
          </w:p>
        </w:tc>
        <w:tc>
          <w:tcPr>
            <w:tcW w:w="34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4260" w:type="dxa"/>
            <w:vAlign w:val="bottom"/>
            <w:tcBorders>
              <w:right w:val="single" w:sz="8" w:color="231F20"/>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Agreement  (as  amended  by  the  Supplemental</w:t>
            </w:r>
          </w:p>
        </w:tc>
        <w:tc>
          <w:tcPr>
            <w:tcW w:w="1800" w:type="dxa"/>
            <w:vAlign w:val="bottom"/>
          </w:tcPr>
          <w:p>
            <w:pPr>
              <w:spacing w:after="0"/>
              <w:rPr>
                <w:sz w:val="18"/>
                <w:szCs w:val="18"/>
                <w:color w:val="auto"/>
              </w:rPr>
            </w:pPr>
          </w:p>
        </w:tc>
        <w:tc>
          <w:tcPr>
            <w:tcW w:w="34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4260" w:type="dxa"/>
            <w:vAlign w:val="bottom"/>
            <w:tcBorders>
              <w:right w:val="single" w:sz="8" w:color="231F20"/>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Agreement) on behalf of the Company, and (iii) do all</w:t>
            </w:r>
          </w:p>
        </w:tc>
        <w:tc>
          <w:tcPr>
            <w:tcW w:w="1800" w:type="dxa"/>
            <w:vAlign w:val="bottom"/>
          </w:tcPr>
          <w:p>
            <w:pPr>
              <w:spacing w:after="0"/>
              <w:rPr>
                <w:sz w:val="18"/>
                <w:szCs w:val="18"/>
                <w:color w:val="auto"/>
              </w:rPr>
            </w:pPr>
          </w:p>
        </w:tc>
        <w:tc>
          <w:tcPr>
            <w:tcW w:w="34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4260" w:type="dxa"/>
            <w:vAlign w:val="bottom"/>
            <w:tcBorders>
              <w:right w:val="single" w:sz="8" w:color="231F20"/>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such things and acts as he/she considers necessary or</w:t>
            </w:r>
          </w:p>
        </w:tc>
        <w:tc>
          <w:tcPr>
            <w:tcW w:w="1800" w:type="dxa"/>
            <w:vAlign w:val="bottom"/>
          </w:tcPr>
          <w:p>
            <w:pPr>
              <w:spacing w:after="0"/>
              <w:rPr>
                <w:sz w:val="18"/>
                <w:szCs w:val="18"/>
                <w:color w:val="auto"/>
              </w:rPr>
            </w:pPr>
          </w:p>
        </w:tc>
        <w:tc>
          <w:tcPr>
            <w:tcW w:w="34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4260" w:type="dxa"/>
            <w:vAlign w:val="bottom"/>
            <w:tcBorders>
              <w:right w:val="single" w:sz="8" w:color="231F20"/>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appropriate  to  give  effect  to  the  2025  Xiaomi</w:t>
            </w:r>
          </w:p>
        </w:tc>
        <w:tc>
          <w:tcPr>
            <w:tcW w:w="1800" w:type="dxa"/>
            <w:vAlign w:val="bottom"/>
          </w:tcPr>
          <w:p>
            <w:pPr>
              <w:spacing w:after="0"/>
              <w:rPr>
                <w:sz w:val="18"/>
                <w:szCs w:val="18"/>
                <w:color w:val="auto"/>
              </w:rPr>
            </w:pPr>
          </w:p>
        </w:tc>
        <w:tc>
          <w:tcPr>
            <w:tcW w:w="34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4260" w:type="dxa"/>
            <w:vAlign w:val="bottom"/>
            <w:tcBorders>
              <w:right w:val="single" w:sz="8" w:color="231F20"/>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Cooperation Framework Agreement (as amended by</w:t>
            </w:r>
          </w:p>
        </w:tc>
        <w:tc>
          <w:tcPr>
            <w:tcW w:w="1800" w:type="dxa"/>
            <w:vAlign w:val="bottom"/>
          </w:tcPr>
          <w:p>
            <w:pPr>
              <w:spacing w:after="0"/>
              <w:rPr>
                <w:sz w:val="18"/>
                <w:szCs w:val="18"/>
                <w:color w:val="auto"/>
              </w:rPr>
            </w:pPr>
          </w:p>
        </w:tc>
        <w:tc>
          <w:tcPr>
            <w:tcW w:w="34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4260" w:type="dxa"/>
            <w:vAlign w:val="bottom"/>
            <w:tcBorders>
              <w:right w:val="single" w:sz="8" w:color="231F20"/>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Supplemental Agreement) and to complete the</w:t>
            </w:r>
          </w:p>
        </w:tc>
        <w:tc>
          <w:tcPr>
            <w:tcW w:w="1800" w:type="dxa"/>
            <w:vAlign w:val="bottom"/>
          </w:tcPr>
          <w:p>
            <w:pPr>
              <w:spacing w:after="0"/>
              <w:rPr>
                <w:sz w:val="18"/>
                <w:szCs w:val="18"/>
                <w:color w:val="auto"/>
              </w:rPr>
            </w:pPr>
          </w:p>
        </w:tc>
        <w:tc>
          <w:tcPr>
            <w:tcW w:w="34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transactions contemplated thereunder.</w:t>
            </w:r>
          </w:p>
        </w:tc>
        <w:tc>
          <w:tcPr>
            <w:tcW w:w="820" w:type="dxa"/>
            <w:vAlign w:val="bottom"/>
            <w:tcBorders>
              <w:right w:val="single" w:sz="8" w:color="231F20"/>
            </w:tcBorders>
          </w:tcPr>
          <w:p>
            <w:pPr>
              <w:spacing w:after="0"/>
              <w:rPr>
                <w:sz w:val="20"/>
                <w:szCs w:val="20"/>
                <w:color w:val="auto"/>
              </w:rPr>
            </w:pPr>
          </w:p>
        </w:tc>
        <w:tc>
          <w:tcPr>
            <w:tcW w:w="1800" w:type="dxa"/>
            <w:vAlign w:val="bottom"/>
          </w:tcPr>
          <w:p>
            <w:pPr>
              <w:spacing w:after="0"/>
              <w:rPr>
                <w:sz w:val="20"/>
                <w:szCs w:val="20"/>
                <w:color w:val="auto"/>
              </w:rPr>
            </w:pPr>
          </w:p>
        </w:tc>
        <w:tc>
          <w:tcPr>
            <w:tcW w:w="340" w:type="dxa"/>
            <w:vAlign w:val="bottom"/>
            <w:tcBorders>
              <w:right w:val="single" w:sz="8" w:color="231F20"/>
            </w:tcBorders>
          </w:tcPr>
          <w:p>
            <w:pPr>
              <w:spacing w:after="0"/>
              <w:rPr>
                <w:sz w:val="20"/>
                <w:szCs w:val="20"/>
                <w:color w:val="auto"/>
              </w:rPr>
            </w:pPr>
          </w:p>
        </w:tc>
        <w:tc>
          <w:tcPr>
            <w:tcW w:w="2120" w:type="dxa"/>
            <w:vAlign w:val="bottom"/>
            <w:tcBorders>
              <w:right w:val="single" w:sz="8" w:color="231F20"/>
            </w:tcBorders>
          </w:tcPr>
          <w:p>
            <w:pPr>
              <w:spacing w:after="0"/>
              <w:rPr>
                <w:sz w:val="20"/>
                <w:szCs w:val="20"/>
                <w:color w:val="auto"/>
              </w:rPr>
            </w:pPr>
          </w:p>
        </w:tc>
        <w:tc>
          <w:tcPr>
            <w:tcW w:w="480" w:type="dxa"/>
            <w:vAlign w:val="bottom"/>
          </w:tcPr>
          <w:p>
            <w:pPr>
              <w:spacing w:after="0"/>
              <w:rPr>
                <w:sz w:val="20"/>
                <w:szCs w:val="20"/>
                <w:color w:val="auto"/>
              </w:rPr>
            </w:pPr>
          </w:p>
        </w:tc>
        <w:tc>
          <w:tcPr>
            <w:tcW w:w="16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3440" w:type="dxa"/>
            <w:vAlign w:val="bottom"/>
            <w:tcBorders>
              <w:bottom w:val="single" w:sz="8" w:color="231F20"/>
            </w:tcBorders>
          </w:tcPr>
          <w:p>
            <w:pPr>
              <w:spacing w:after="0"/>
              <w:rPr>
                <w:sz w:val="2"/>
                <w:szCs w:val="2"/>
                <w:color w:val="auto"/>
              </w:rPr>
            </w:pPr>
          </w:p>
        </w:tc>
        <w:tc>
          <w:tcPr>
            <w:tcW w:w="820" w:type="dxa"/>
            <w:vAlign w:val="bottom"/>
            <w:tcBorders>
              <w:bottom w:val="single" w:sz="8" w:color="231F20"/>
              <w:right w:val="single" w:sz="8" w:color="231F20"/>
            </w:tcBorders>
          </w:tcPr>
          <w:p>
            <w:pPr>
              <w:spacing w:after="0"/>
              <w:rPr>
                <w:sz w:val="2"/>
                <w:szCs w:val="2"/>
                <w:color w:val="auto"/>
              </w:rPr>
            </w:pPr>
          </w:p>
        </w:tc>
        <w:tc>
          <w:tcPr>
            <w:tcW w:w="1800" w:type="dxa"/>
            <w:vAlign w:val="bottom"/>
            <w:tcBorders>
              <w:bottom w:val="single" w:sz="8" w:color="231F20"/>
            </w:tcBorders>
          </w:tcPr>
          <w:p>
            <w:pPr>
              <w:spacing w:after="0"/>
              <w:rPr>
                <w:sz w:val="2"/>
                <w:szCs w:val="2"/>
                <w:color w:val="auto"/>
              </w:rPr>
            </w:pPr>
          </w:p>
        </w:tc>
        <w:tc>
          <w:tcPr>
            <w:tcW w:w="340" w:type="dxa"/>
            <w:vAlign w:val="bottom"/>
            <w:tcBorders>
              <w:bottom w:val="single" w:sz="8" w:color="231F20"/>
              <w:right w:val="single" w:sz="8" w:color="231F20"/>
            </w:tcBorders>
          </w:tcPr>
          <w:p>
            <w:pPr>
              <w:spacing w:after="0"/>
              <w:rPr>
                <w:sz w:val="2"/>
                <w:szCs w:val="2"/>
                <w:color w:val="auto"/>
              </w:rPr>
            </w:pPr>
          </w:p>
        </w:tc>
        <w:tc>
          <w:tcPr>
            <w:tcW w:w="2120" w:type="dxa"/>
            <w:vAlign w:val="bottom"/>
            <w:tcBorders>
              <w:bottom w:val="single" w:sz="8" w:color="231F20"/>
              <w:right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164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0" w:type="dxa"/>
            <w:vAlign w:val="bottom"/>
            <w:tcBorders>
              <w:left w:val="single" w:sz="8" w:color="231F20"/>
            </w:tcBorders>
          </w:tcPr>
          <w:p>
            <w:pPr>
              <w:spacing w:after="0"/>
              <w:rPr>
                <w:sz w:val="22"/>
                <w:szCs w:val="22"/>
                <w:color w:val="auto"/>
              </w:rPr>
            </w:pPr>
          </w:p>
        </w:tc>
        <w:tc>
          <w:tcPr>
            <w:tcW w:w="3440" w:type="dxa"/>
            <w:vAlign w:val="bottom"/>
            <w:vMerge w:val="restart"/>
          </w:tcPr>
          <w:p>
            <w:pPr>
              <w:ind w:left="820"/>
              <w:spacing w:after="0"/>
              <w:rPr>
                <w:sz w:val="20"/>
                <w:szCs w:val="20"/>
                <w:color w:val="auto"/>
              </w:rPr>
            </w:pPr>
            <w:r>
              <w:rPr>
                <w:rFonts w:ascii="Times New Roman" w:cs="Times New Roman" w:eastAsia="Times New Roman" w:hAnsi="Times New Roman"/>
                <w:sz w:val="18"/>
                <w:szCs w:val="18"/>
                <w:b w:val="1"/>
                <w:bCs w:val="1"/>
                <w:color w:val="auto"/>
              </w:rPr>
              <w:t>SPECIAL RESOLUTION</w:t>
            </w:r>
          </w:p>
        </w:tc>
        <w:tc>
          <w:tcPr>
            <w:tcW w:w="820" w:type="dxa"/>
            <w:vAlign w:val="bottom"/>
            <w:tcBorders>
              <w:right w:val="single" w:sz="8" w:color="231F20"/>
            </w:tcBorders>
          </w:tcPr>
          <w:p>
            <w:pPr>
              <w:spacing w:after="0"/>
              <w:rPr>
                <w:sz w:val="22"/>
                <w:szCs w:val="22"/>
                <w:color w:val="auto"/>
              </w:rPr>
            </w:pPr>
          </w:p>
        </w:tc>
        <w:tc>
          <w:tcPr>
            <w:tcW w:w="1800" w:type="dxa"/>
            <w:vAlign w:val="bottom"/>
          </w:tcPr>
          <w:p>
            <w:pPr>
              <w:spacing w:after="0"/>
              <w:rPr>
                <w:sz w:val="22"/>
                <w:szCs w:val="22"/>
                <w:color w:val="auto"/>
              </w:rPr>
            </w:pPr>
          </w:p>
        </w:tc>
        <w:tc>
          <w:tcPr>
            <w:tcW w:w="29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 VOTES CAST</w:t>
            </w:r>
          </w:p>
        </w:tc>
        <w:tc>
          <w:tcPr>
            <w:tcW w:w="164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600" w:type="dxa"/>
            <w:vAlign w:val="bottom"/>
            <w:tcBorders>
              <w:left w:val="single" w:sz="8" w:color="231F20"/>
            </w:tcBorders>
          </w:tcPr>
          <w:p>
            <w:pPr>
              <w:spacing w:after="0"/>
              <w:rPr>
                <w:sz w:val="14"/>
                <w:szCs w:val="14"/>
                <w:color w:val="auto"/>
              </w:rPr>
            </w:pPr>
          </w:p>
        </w:tc>
        <w:tc>
          <w:tcPr>
            <w:tcW w:w="3440" w:type="dxa"/>
            <w:vAlign w:val="bottom"/>
            <w:vMerge w:val="continue"/>
          </w:tcPr>
          <w:p>
            <w:pPr>
              <w:spacing w:after="0"/>
              <w:rPr>
                <w:sz w:val="14"/>
                <w:szCs w:val="14"/>
                <w:color w:val="auto"/>
              </w:rPr>
            </w:pPr>
          </w:p>
        </w:tc>
        <w:tc>
          <w:tcPr>
            <w:tcW w:w="820" w:type="dxa"/>
            <w:vAlign w:val="bottom"/>
            <w:tcBorders>
              <w:right w:val="single" w:sz="8" w:color="231F20"/>
            </w:tcBorders>
          </w:tcPr>
          <w:p>
            <w:pPr>
              <w:spacing w:after="0"/>
              <w:rPr>
                <w:sz w:val="14"/>
                <w:szCs w:val="14"/>
                <w:color w:val="auto"/>
              </w:rPr>
            </w:pPr>
          </w:p>
        </w:tc>
        <w:tc>
          <w:tcPr>
            <w:tcW w:w="1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AND PERCENTAGE (%)</w:t>
            </w:r>
          </w:p>
        </w:tc>
        <w:tc>
          <w:tcPr>
            <w:tcW w:w="1640" w:type="dxa"/>
            <w:vAlign w:val="bottom"/>
            <w:tcBorders>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0" w:type="dxa"/>
            <w:vAlign w:val="bottom"/>
            <w:tcBorders>
              <w:left w:val="single" w:sz="8" w:color="231F20"/>
            </w:tcBorders>
          </w:tcPr>
          <w:p>
            <w:pPr>
              <w:spacing w:after="0"/>
              <w:rPr>
                <w:sz w:val="5"/>
                <w:szCs w:val="5"/>
                <w:color w:val="auto"/>
              </w:rPr>
            </w:pPr>
          </w:p>
        </w:tc>
        <w:tc>
          <w:tcPr>
            <w:tcW w:w="3440" w:type="dxa"/>
            <w:vAlign w:val="bottom"/>
          </w:tcPr>
          <w:p>
            <w:pPr>
              <w:spacing w:after="0"/>
              <w:rPr>
                <w:sz w:val="5"/>
                <w:szCs w:val="5"/>
                <w:color w:val="auto"/>
              </w:rPr>
            </w:pPr>
          </w:p>
        </w:tc>
        <w:tc>
          <w:tcPr>
            <w:tcW w:w="820" w:type="dxa"/>
            <w:vAlign w:val="bottom"/>
            <w:tcBorders>
              <w:right w:val="single" w:sz="8" w:color="231F20"/>
            </w:tcBorders>
          </w:tcPr>
          <w:p>
            <w:pPr>
              <w:spacing w:after="0"/>
              <w:rPr>
                <w:sz w:val="5"/>
                <w:szCs w:val="5"/>
                <w:color w:val="auto"/>
              </w:rPr>
            </w:pPr>
          </w:p>
        </w:tc>
        <w:tc>
          <w:tcPr>
            <w:tcW w:w="1800" w:type="dxa"/>
            <w:vAlign w:val="bottom"/>
            <w:tcBorders>
              <w:bottom w:val="single" w:sz="8" w:color="231F20"/>
            </w:tcBorders>
          </w:tcPr>
          <w:p>
            <w:pPr>
              <w:spacing w:after="0"/>
              <w:rPr>
                <w:sz w:val="5"/>
                <w:szCs w:val="5"/>
                <w:color w:val="auto"/>
              </w:rPr>
            </w:pPr>
          </w:p>
        </w:tc>
        <w:tc>
          <w:tcPr>
            <w:tcW w:w="340" w:type="dxa"/>
            <w:vAlign w:val="bottom"/>
            <w:tcBorders>
              <w:bottom w:val="single" w:sz="8" w:color="231F20"/>
            </w:tcBorders>
          </w:tcPr>
          <w:p>
            <w:pPr>
              <w:spacing w:after="0"/>
              <w:rPr>
                <w:sz w:val="5"/>
                <w:szCs w:val="5"/>
                <w:color w:val="auto"/>
              </w:rPr>
            </w:pPr>
          </w:p>
        </w:tc>
        <w:tc>
          <w:tcPr>
            <w:tcW w:w="2600" w:type="dxa"/>
            <w:vAlign w:val="bottom"/>
            <w:tcBorders>
              <w:bottom w:val="single" w:sz="8" w:color="231F20"/>
            </w:tcBorders>
            <w:gridSpan w:val="2"/>
            <w:vMerge w:val="continue"/>
          </w:tcPr>
          <w:p>
            <w:pPr>
              <w:spacing w:after="0"/>
              <w:rPr>
                <w:sz w:val="5"/>
                <w:szCs w:val="5"/>
                <w:color w:val="auto"/>
              </w:rPr>
            </w:pPr>
          </w:p>
        </w:tc>
        <w:tc>
          <w:tcPr>
            <w:tcW w:w="1640" w:type="dxa"/>
            <w:vAlign w:val="bottom"/>
            <w:tcBorders>
              <w:bottom w:val="single" w:sz="8" w:color="231F20"/>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600" w:type="dxa"/>
            <w:vAlign w:val="bottom"/>
            <w:tcBorders>
              <w:left w:val="single" w:sz="8" w:color="231F20"/>
              <w:bottom w:val="single" w:sz="8" w:color="231F20"/>
            </w:tcBorders>
          </w:tcPr>
          <w:p>
            <w:pPr>
              <w:spacing w:after="0"/>
              <w:rPr>
                <w:sz w:val="24"/>
                <w:szCs w:val="24"/>
                <w:color w:val="auto"/>
              </w:rPr>
            </w:pPr>
          </w:p>
        </w:tc>
        <w:tc>
          <w:tcPr>
            <w:tcW w:w="3440" w:type="dxa"/>
            <w:vAlign w:val="bottom"/>
            <w:tcBorders>
              <w:bottom w:val="single" w:sz="8" w:color="231F20"/>
            </w:tcBorders>
          </w:tcPr>
          <w:p>
            <w:pPr>
              <w:spacing w:after="0"/>
              <w:rPr>
                <w:sz w:val="24"/>
                <w:szCs w:val="24"/>
                <w:color w:val="auto"/>
              </w:rPr>
            </w:pPr>
          </w:p>
        </w:tc>
        <w:tc>
          <w:tcPr>
            <w:tcW w:w="820" w:type="dxa"/>
            <w:vAlign w:val="bottom"/>
            <w:tcBorders>
              <w:bottom w:val="single" w:sz="8" w:color="231F20"/>
              <w:right w:val="single" w:sz="8" w:color="231F20"/>
            </w:tcBorders>
          </w:tcPr>
          <w:p>
            <w:pPr>
              <w:spacing w:after="0"/>
              <w:rPr>
                <w:sz w:val="24"/>
                <w:szCs w:val="24"/>
                <w:color w:val="auto"/>
              </w:rPr>
            </w:pPr>
          </w:p>
        </w:tc>
        <w:tc>
          <w:tcPr>
            <w:tcW w:w="1800" w:type="dxa"/>
            <w:vAlign w:val="bottom"/>
            <w:tcBorders>
              <w:bottom w:val="single" w:sz="8" w:color="231F20"/>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FOR</w:t>
            </w:r>
          </w:p>
        </w:tc>
        <w:tc>
          <w:tcPr>
            <w:tcW w:w="340" w:type="dxa"/>
            <w:vAlign w:val="bottom"/>
            <w:tcBorders>
              <w:bottom w:val="single" w:sz="8" w:color="231F20"/>
              <w:right w:val="single" w:sz="8" w:color="231F20"/>
            </w:tcBorders>
          </w:tcPr>
          <w:p>
            <w:pPr>
              <w:spacing w:after="0"/>
              <w:rPr>
                <w:sz w:val="24"/>
                <w:szCs w:val="24"/>
                <w:color w:val="auto"/>
              </w:rPr>
            </w:pPr>
          </w:p>
        </w:tc>
        <w:tc>
          <w:tcPr>
            <w:tcW w:w="21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480" w:type="dxa"/>
            <w:vAlign w:val="bottom"/>
            <w:tcBorders>
              <w:bottom w:val="single" w:sz="8" w:color="231F20"/>
            </w:tcBorders>
          </w:tcPr>
          <w:p>
            <w:pPr>
              <w:spacing w:after="0"/>
              <w:rPr>
                <w:sz w:val="24"/>
                <w:szCs w:val="24"/>
                <w:color w:val="auto"/>
              </w:rPr>
            </w:pPr>
          </w:p>
        </w:tc>
        <w:tc>
          <w:tcPr>
            <w:tcW w:w="1640" w:type="dxa"/>
            <w:vAlign w:val="bottom"/>
            <w:tcBorders>
              <w:bottom w:val="single" w:sz="8" w:color="231F20"/>
              <w:right w:val="single" w:sz="8" w:color="231F20"/>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0" w:type="dxa"/>
            <w:vAlign w:val="bottom"/>
          </w:tcPr>
          <w:p>
            <w:pPr>
              <w:spacing w:after="0"/>
              <w:rPr>
                <w:sz w:val="1"/>
                <w:szCs w:val="1"/>
                <w:color w:val="auto"/>
              </w:rPr>
            </w:pPr>
          </w:p>
        </w:tc>
      </w:tr>
      <w:tr>
        <w:trPr>
          <w:trHeight w:val="259"/>
        </w:trPr>
        <w:tc>
          <w:tcPr>
            <w:tcW w:w="600" w:type="dxa"/>
            <w:vAlign w:val="bottom"/>
            <w:tcBorders>
              <w:left w:val="single" w:sz="8" w:color="231F20"/>
              <w:right w:val="single" w:sz="8" w:color="231F20"/>
            </w:tcBorders>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c>
          <w:tcPr>
            <w:tcW w:w="4260" w:type="dxa"/>
            <w:vAlign w:val="bottom"/>
            <w:tcBorders>
              <w:right w:val="single" w:sz="8" w:color="231F20"/>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 approve the amendments to the Second Amended</w:t>
            </w:r>
          </w:p>
        </w:tc>
        <w:tc>
          <w:tcPr>
            <w:tcW w:w="18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2,280,679,071</w:t>
            </w:r>
          </w:p>
        </w:tc>
        <w:tc>
          <w:tcPr>
            <w:tcW w:w="340" w:type="dxa"/>
            <w:vAlign w:val="bottom"/>
            <w:tcBorders>
              <w:right w:val="single" w:sz="8" w:color="231F20"/>
            </w:tcBorders>
          </w:tcPr>
          <w:p>
            <w:pPr>
              <w:spacing w:after="0"/>
              <w:rPr>
                <w:sz w:val="22"/>
                <w:szCs w:val="22"/>
                <w:color w:val="auto"/>
              </w:rPr>
            </w:pP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15,637,872</w:t>
            </w:r>
          </w:p>
        </w:tc>
        <w:tc>
          <w:tcPr>
            <w:tcW w:w="480" w:type="dxa"/>
            <w:vAlign w:val="bottom"/>
          </w:tcPr>
          <w:p>
            <w:pPr>
              <w:spacing w:after="0"/>
              <w:rPr>
                <w:sz w:val="22"/>
                <w:szCs w:val="22"/>
                <w:color w:val="auto"/>
              </w:rPr>
            </w:pPr>
          </w:p>
        </w:tc>
        <w:tc>
          <w:tcPr>
            <w:tcW w:w="1640" w:type="dxa"/>
            <w:vAlign w:val="bottom"/>
            <w:tcBorders>
              <w:right w:val="single" w:sz="8" w:color="231F20"/>
            </w:tcBorders>
          </w:tcPr>
          <w:p>
            <w:pPr>
              <w:jc w:val="right"/>
              <w:ind w:right="690"/>
              <w:spacing w:after="0"/>
              <w:rPr>
                <w:sz w:val="20"/>
                <w:szCs w:val="20"/>
                <w:color w:val="auto"/>
              </w:rPr>
            </w:pPr>
            <w:r>
              <w:rPr>
                <w:rFonts w:ascii="Times New Roman" w:cs="Times New Roman" w:eastAsia="Times New Roman" w:hAnsi="Times New Roman"/>
                <w:sz w:val="18"/>
                <w:szCs w:val="18"/>
                <w:color w:val="auto"/>
              </w:rPr>
              <w:t>102,585</w:t>
            </w: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4260" w:type="dxa"/>
            <w:vAlign w:val="bottom"/>
            <w:tcBorders>
              <w:right w:val="single" w:sz="8" w:color="231F20"/>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and Restated Memorandum and Articles of Association</w:t>
            </w:r>
          </w:p>
        </w:tc>
        <w:tc>
          <w:tcPr>
            <w:tcW w:w="18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(99.32%)</w:t>
            </w:r>
          </w:p>
        </w:tc>
        <w:tc>
          <w:tcPr>
            <w:tcW w:w="34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(0.68%)</w:t>
            </w: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4260" w:type="dxa"/>
            <w:vAlign w:val="bottom"/>
            <w:tcBorders>
              <w:right w:val="single" w:sz="8" w:color="231F20"/>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of the Company; and to adopt the Third Amended and</w:t>
            </w:r>
          </w:p>
        </w:tc>
        <w:tc>
          <w:tcPr>
            <w:tcW w:w="1800" w:type="dxa"/>
            <w:vAlign w:val="bottom"/>
          </w:tcPr>
          <w:p>
            <w:pPr>
              <w:spacing w:after="0"/>
              <w:rPr>
                <w:sz w:val="18"/>
                <w:szCs w:val="18"/>
                <w:color w:val="auto"/>
              </w:rPr>
            </w:pPr>
          </w:p>
        </w:tc>
        <w:tc>
          <w:tcPr>
            <w:tcW w:w="34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231F20"/>
              <w:right w:val="single" w:sz="8" w:color="231F20"/>
            </w:tcBorders>
          </w:tcPr>
          <w:p>
            <w:pPr>
              <w:spacing w:after="0"/>
              <w:rPr>
                <w:sz w:val="18"/>
                <w:szCs w:val="18"/>
                <w:color w:val="auto"/>
              </w:rPr>
            </w:pPr>
          </w:p>
        </w:tc>
        <w:tc>
          <w:tcPr>
            <w:tcW w:w="4260" w:type="dxa"/>
            <w:vAlign w:val="bottom"/>
            <w:tcBorders>
              <w:right w:val="single" w:sz="8" w:color="231F20"/>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Restated Memorandum and Articles of Association of</w:t>
            </w:r>
          </w:p>
        </w:tc>
        <w:tc>
          <w:tcPr>
            <w:tcW w:w="1800" w:type="dxa"/>
            <w:vAlign w:val="bottom"/>
          </w:tcPr>
          <w:p>
            <w:pPr>
              <w:spacing w:after="0"/>
              <w:rPr>
                <w:sz w:val="18"/>
                <w:szCs w:val="18"/>
                <w:color w:val="auto"/>
              </w:rPr>
            </w:pPr>
          </w:p>
        </w:tc>
        <w:tc>
          <w:tcPr>
            <w:tcW w:w="340" w:type="dxa"/>
            <w:vAlign w:val="bottom"/>
            <w:tcBorders>
              <w:right w:val="single" w:sz="8" w:color="231F20"/>
            </w:tcBorders>
          </w:tcPr>
          <w:p>
            <w:pPr>
              <w:spacing w:after="0"/>
              <w:rPr>
                <w:sz w:val="18"/>
                <w:szCs w:val="18"/>
                <w:color w:val="auto"/>
              </w:rPr>
            </w:pPr>
          </w:p>
        </w:tc>
        <w:tc>
          <w:tcPr>
            <w:tcW w:w="2120" w:type="dxa"/>
            <w:vAlign w:val="bottom"/>
            <w:tcBorders>
              <w:right w:val="single" w:sz="8" w:color="231F20"/>
            </w:tcBorders>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231F20"/>
              <w:right w:val="single" w:sz="8" w:color="231F20"/>
            </w:tcBorders>
          </w:tcPr>
          <w:p>
            <w:pPr>
              <w:spacing w:after="0"/>
              <w:rPr>
                <w:sz w:val="20"/>
                <w:szCs w:val="20"/>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Company.</w:t>
            </w:r>
          </w:p>
        </w:tc>
        <w:tc>
          <w:tcPr>
            <w:tcW w:w="820" w:type="dxa"/>
            <w:vAlign w:val="bottom"/>
            <w:tcBorders>
              <w:right w:val="single" w:sz="8" w:color="231F20"/>
            </w:tcBorders>
          </w:tcPr>
          <w:p>
            <w:pPr>
              <w:spacing w:after="0"/>
              <w:rPr>
                <w:sz w:val="20"/>
                <w:szCs w:val="20"/>
                <w:color w:val="auto"/>
              </w:rPr>
            </w:pPr>
          </w:p>
        </w:tc>
        <w:tc>
          <w:tcPr>
            <w:tcW w:w="1800" w:type="dxa"/>
            <w:vAlign w:val="bottom"/>
          </w:tcPr>
          <w:p>
            <w:pPr>
              <w:spacing w:after="0"/>
              <w:rPr>
                <w:sz w:val="20"/>
                <w:szCs w:val="20"/>
                <w:color w:val="auto"/>
              </w:rPr>
            </w:pPr>
          </w:p>
        </w:tc>
        <w:tc>
          <w:tcPr>
            <w:tcW w:w="340" w:type="dxa"/>
            <w:vAlign w:val="bottom"/>
            <w:tcBorders>
              <w:right w:val="single" w:sz="8" w:color="231F20"/>
            </w:tcBorders>
          </w:tcPr>
          <w:p>
            <w:pPr>
              <w:spacing w:after="0"/>
              <w:rPr>
                <w:sz w:val="20"/>
                <w:szCs w:val="20"/>
                <w:color w:val="auto"/>
              </w:rPr>
            </w:pPr>
          </w:p>
        </w:tc>
        <w:tc>
          <w:tcPr>
            <w:tcW w:w="2120" w:type="dxa"/>
            <w:vAlign w:val="bottom"/>
            <w:tcBorders>
              <w:right w:val="single" w:sz="8" w:color="231F20"/>
            </w:tcBorders>
          </w:tcPr>
          <w:p>
            <w:pPr>
              <w:spacing w:after="0"/>
              <w:rPr>
                <w:sz w:val="20"/>
                <w:szCs w:val="20"/>
                <w:color w:val="auto"/>
              </w:rPr>
            </w:pPr>
          </w:p>
        </w:tc>
        <w:tc>
          <w:tcPr>
            <w:tcW w:w="480" w:type="dxa"/>
            <w:vAlign w:val="bottom"/>
          </w:tcPr>
          <w:p>
            <w:pPr>
              <w:spacing w:after="0"/>
              <w:rPr>
                <w:sz w:val="20"/>
                <w:szCs w:val="20"/>
                <w:color w:val="auto"/>
              </w:rPr>
            </w:pPr>
          </w:p>
        </w:tc>
        <w:tc>
          <w:tcPr>
            <w:tcW w:w="16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3440" w:type="dxa"/>
            <w:vAlign w:val="bottom"/>
            <w:tcBorders>
              <w:bottom w:val="single" w:sz="8" w:color="231F20"/>
            </w:tcBorders>
          </w:tcPr>
          <w:p>
            <w:pPr>
              <w:spacing w:after="0"/>
              <w:rPr>
                <w:sz w:val="2"/>
                <w:szCs w:val="2"/>
                <w:color w:val="auto"/>
              </w:rPr>
            </w:pPr>
          </w:p>
        </w:tc>
        <w:tc>
          <w:tcPr>
            <w:tcW w:w="820" w:type="dxa"/>
            <w:vAlign w:val="bottom"/>
            <w:tcBorders>
              <w:bottom w:val="single" w:sz="8" w:color="231F20"/>
              <w:right w:val="single" w:sz="8" w:color="231F20"/>
            </w:tcBorders>
          </w:tcPr>
          <w:p>
            <w:pPr>
              <w:spacing w:after="0"/>
              <w:rPr>
                <w:sz w:val="2"/>
                <w:szCs w:val="2"/>
                <w:color w:val="auto"/>
              </w:rPr>
            </w:pPr>
          </w:p>
        </w:tc>
        <w:tc>
          <w:tcPr>
            <w:tcW w:w="1800" w:type="dxa"/>
            <w:vAlign w:val="bottom"/>
            <w:tcBorders>
              <w:bottom w:val="single" w:sz="8" w:color="231F20"/>
            </w:tcBorders>
          </w:tcPr>
          <w:p>
            <w:pPr>
              <w:spacing w:after="0"/>
              <w:rPr>
                <w:sz w:val="2"/>
                <w:szCs w:val="2"/>
                <w:color w:val="auto"/>
              </w:rPr>
            </w:pPr>
          </w:p>
        </w:tc>
        <w:tc>
          <w:tcPr>
            <w:tcW w:w="340" w:type="dxa"/>
            <w:vAlign w:val="bottom"/>
            <w:tcBorders>
              <w:bottom w:val="single" w:sz="8" w:color="231F20"/>
              <w:right w:val="single" w:sz="8" w:color="231F20"/>
            </w:tcBorders>
          </w:tcPr>
          <w:p>
            <w:pPr>
              <w:spacing w:after="0"/>
              <w:rPr>
                <w:sz w:val="2"/>
                <w:szCs w:val="2"/>
                <w:color w:val="auto"/>
              </w:rPr>
            </w:pPr>
          </w:p>
        </w:tc>
        <w:tc>
          <w:tcPr>
            <w:tcW w:w="2120" w:type="dxa"/>
            <w:vAlign w:val="bottom"/>
            <w:tcBorders>
              <w:bottom w:val="single" w:sz="8" w:color="231F20"/>
              <w:right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164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641"/>
        </w:trPr>
        <w:tc>
          <w:tcPr>
            <w:tcW w:w="6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7" w:lineRule="exact"/>
        <w:rPr>
          <w:sz w:val="20"/>
          <w:szCs w:val="20"/>
          <w:color w:val="auto"/>
        </w:rPr>
      </w:pPr>
    </w:p>
    <w:p>
      <w:pPr>
        <w:jc w:val="both"/>
        <w:ind w:left="380" w:hanging="372"/>
        <w:spacing w:after="0" w:line="266" w:lineRule="auto"/>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majority of the votes were cast in favour of each of the resolutions numbered 1 to 13 above, such resolutions were duly passed as ordinary resolutions. As not less than three-fourths of the votes were cast in favour of the special resolution numbered 14 above, such resolution was duly passed as a special resolution.</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Shares Record Date, the total number of issued Shares was 4,531,784,801 Shares; and there were (i) no treasury Shares held by the Company (including any treasury Shares held or deposited with CCASS); and (ii) no repurchased Shares which are pending cancellation and should be excluded from the total number of issued Shares for the purpose of the AGM.</w:t>
      </w:r>
    </w:p>
    <w:p>
      <w:pPr>
        <w:spacing w:after="0" w:line="17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Shareholders, pursuant to the Hong Kong Listing Rules, shall and has abstained from voting at the AGM:</w:t>
      </w:r>
    </w:p>
    <w:p>
      <w:pPr>
        <w:spacing w:after="0" w:line="225"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resolutions numbered 1 to 14, the unvested Shares held by the share scheme trustee of the Company shall be required to abstain from voting, being an aggregate of 34,756,155 as at the Share Record Date.</w:t>
      </w:r>
    </w:p>
    <w:p>
      <w:pPr>
        <w:spacing w:after="0" w:line="161"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resolutions numbered 11 to 13, the Shares held by Xiaomi and its associates shall also be required to abstain from voting, being an aggregate of 466,161,000 as at the Share Record Date.</w:t>
      </w:r>
    </w:p>
    <w:p>
      <w:pPr>
        <w:spacing w:after="0" w:line="162" w:lineRule="exact"/>
        <w:rPr>
          <w:sz w:val="20"/>
          <w:szCs w:val="20"/>
          <w:color w:val="auto"/>
        </w:rPr>
      </w:pPr>
    </w:p>
    <w:p>
      <w:pPr>
        <w:jc w:val="both"/>
        <w:ind w:left="400" w:right="120"/>
        <w:spacing w:after="0" w:line="258" w:lineRule="auto"/>
        <w:rPr>
          <w:sz w:val="20"/>
          <w:szCs w:val="20"/>
          <w:color w:val="auto"/>
        </w:rPr>
      </w:pPr>
      <w:r>
        <w:rPr>
          <w:rFonts w:ascii="Times New Roman" w:cs="Times New Roman" w:eastAsia="Times New Roman" w:hAnsi="Times New Roman"/>
          <w:sz w:val="18"/>
          <w:szCs w:val="18"/>
          <w:color w:val="auto"/>
        </w:rPr>
        <w:t>To the best of the Directors’ knowledge, information and belief, and save as disclosed above, there was no other Shareholder who had any material interest in any resolutions proposed at the AGM, therefore, none of other Shareholders was required to abstain from voting on any resolutions and none of the Shareholders have stated their intention in the Circular to vote against or to abstain from voting on any of the resolutions proposed at the AGM. There were no Shares entitling the holders to attend and abstain from voting in favour of any resolution at the AGM as set out in Rule 13.40 of the Hong Kong Listing Rules.</w:t>
      </w:r>
    </w:p>
    <w:p>
      <w:pPr>
        <w:spacing w:after="0" w:line="183" w:lineRule="exact"/>
        <w:rPr>
          <w:sz w:val="20"/>
          <w:szCs w:val="20"/>
          <w:color w:val="auto"/>
        </w:rPr>
      </w:pPr>
    </w:p>
    <w:p>
      <w:pPr>
        <w:jc w:val="both"/>
        <w:ind w:left="380" w:hanging="372"/>
        <w:spacing w:after="0" w:line="266"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the total number of Shares entitling Shareholders to attend and vote in favour of, against or in abstention on the resolutions numbered 1 to 10 and the resolution numbered 14 proposed at the AGM was 4,497,028,646 and the resolutions numbered 11 to 13 proposed at the AGM was 4,030,867,646.</w:t>
      </w:r>
    </w:p>
    <w:p>
      <w:pPr>
        <w:spacing w:after="0" w:line="17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 registrar in Hong Kong, Tricor Investor Services Limited, acted as the scrutineer for the vote-taking at the AGM.</w:t>
      </w:r>
    </w:p>
    <w:p>
      <w:pPr>
        <w:spacing w:after="0" w:line="22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namely Mr. Zou Tao, Mr. Qu Heng, Mr. Zhang Duo, Mr. Yu Mingto, Mr. Wang Hang and Ms. Qu Jingyuan attended the AGM either in person or via electronic means.</w:t>
      </w:r>
    </w:p>
    <w:p>
      <w:pPr>
        <w:spacing w:after="0" w:line="18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b w:val="1"/>
          <w:bCs w:val="1"/>
          <w:color w:val="auto"/>
        </w:rPr>
        <w:t>Mr. Zou Tao</w:t>
      </w:r>
    </w:p>
    <w:p>
      <w:pPr>
        <w:spacing w:after="0" w:line="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i w:val="1"/>
          <w:iCs w:val="1"/>
          <w:color w:val="auto"/>
        </w:rPr>
        <w:t>Chairman of the Board, Executive Director</w:t>
      </w:r>
    </w:p>
    <w:p>
      <w:pPr>
        <w:spacing w:after="0" w:line="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i w:val="1"/>
          <w:iCs w:val="1"/>
          <w:color w:val="auto"/>
        </w:rPr>
        <w:t>and acting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June 30, 2026</w:t>
      </w:r>
    </w:p>
    <w:p>
      <w:pPr>
        <w:spacing w:after="0" w:line="22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of directors of the Company comprises Mr. Zou Tao as Chairman and executive director, Mr. Qu Heng and Mr. Zhang Duo as non-executive directors, and Mr. Yu Mingto, Mr. Wang Hang and Ms. Qu Jingyuan as independent non-executive directors.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THE COMPANIES ACT (AS REVISED)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EXEMPTED COMPANY LIMITED BY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THE THIRD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MEMORANDUM OF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Kingsoft Cloud Holdings Limited</w:t>
      </w:r>
    </w:p>
    <w:p>
      <w:pPr>
        <w:spacing w:after="0" w:line="34" w:lineRule="exact"/>
        <w:rPr>
          <w:sz w:val="20"/>
          <w:szCs w:val="20"/>
          <w:color w:val="auto"/>
        </w:rPr>
      </w:pPr>
    </w:p>
    <w:p>
      <w:pPr>
        <w:jc w:val="center"/>
        <w:ind w:right="-19"/>
        <w:spacing w:after="0" w:line="206" w:lineRule="exact"/>
        <w:rPr>
          <w:sz w:val="20"/>
          <w:szCs w:val="20"/>
          <w:color w:val="auto"/>
        </w:rPr>
      </w:pPr>
      <w:r>
        <w:rPr>
          <w:rFonts w:ascii="SimSun" w:cs="SimSun" w:eastAsia="SimSun" w:hAnsi="SimSun"/>
          <w:sz w:val="18"/>
          <w:szCs w:val="18"/>
          <w:color w:val="auto"/>
        </w:rPr>
        <w:t>金山雲控股有限公司</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(Adopted by way of special resolution passed on June 30, 2026)</w:t>
      </w:r>
    </w:p>
    <w:p>
      <w:pPr>
        <w:spacing w:after="0" w:line="239" w:lineRule="exact"/>
        <w:rPr>
          <w:sz w:val="20"/>
          <w:szCs w:val="20"/>
          <w:color w:val="auto"/>
        </w:rPr>
      </w:pPr>
    </w:p>
    <w:p>
      <w:pPr>
        <w:ind w:left="640" w:hanging="632"/>
        <w:spacing w:after="0" w:line="219" w:lineRule="exact"/>
        <w:tabs>
          <w:tab w:leader="none" w:pos="6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name of the Company is Kingsoft Cloud Holdings Limited</w:t>
      </w:r>
      <w:r>
        <w:rPr>
          <w:rFonts w:ascii="SimSun" w:cs="SimSun" w:eastAsia="SimSun" w:hAnsi="SimSun"/>
          <w:sz w:val="18"/>
          <w:szCs w:val="18"/>
          <w:color w:val="231F20"/>
        </w:rPr>
        <w:t>（金山雲控股有限公司）</w:t>
      </w:r>
      <w:r>
        <w:rPr>
          <w:rFonts w:ascii="Times New Roman" w:cs="Times New Roman" w:eastAsia="Times New Roman" w:hAnsi="Times New Roman"/>
          <w:sz w:val="18"/>
          <w:szCs w:val="18"/>
          <w:color w:val="231F20"/>
        </w:rPr>
        <w:t>.</w:t>
      </w:r>
    </w:p>
    <w:p>
      <w:pPr>
        <w:spacing w:after="0" w:line="226"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registered office of the Company shall be at the offices of Conyers Trust Company (Cayman) Limited, Cricket Square, Hutchins Drive, P.O. Box 2681, Grand Cayman, KY1-1111, Cayman Islands.</w:t>
      </w:r>
    </w:p>
    <w:p>
      <w:pPr>
        <w:spacing w:after="0" w:line="161"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the following provisions of this Memorandum, the objects for which the Company is established are unrestricted.</w:t>
      </w:r>
    </w:p>
    <w:p>
      <w:pPr>
        <w:spacing w:after="0" w:line="225"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the following provisions of this Memorandum, the Company shall have and be capable of exercising all the functions of a natural person of full capacity irrespective of any question of corporate benefit, as provided by Section 27(2) of the Companies Act.</w:t>
      </w:r>
    </w:p>
    <w:p>
      <w:pPr>
        <w:spacing w:after="0" w:line="161"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Nothing in this Memorandum shall permit the Company to carry on a business for which a licence is required under the laws of the Cayman Islands unless duly licensed.</w:t>
      </w:r>
    </w:p>
    <w:p>
      <w:pPr>
        <w:spacing w:after="0" w:line="161" w:lineRule="exact"/>
        <w:rPr>
          <w:rFonts w:ascii="Times New Roman" w:cs="Times New Roman" w:eastAsia="Times New Roman" w:hAnsi="Times New Roman"/>
          <w:sz w:val="18"/>
          <w:szCs w:val="18"/>
          <w:color w:val="231F20"/>
        </w:rPr>
      </w:pPr>
    </w:p>
    <w:p>
      <w:pPr>
        <w:jc w:val="both"/>
        <w:ind w:left="640" w:hanging="632"/>
        <w:spacing w:after="0" w:line="261" w:lineRule="auto"/>
        <w:tabs>
          <w:tab w:leader="none" w:pos="6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shall not trade in the Cayman Islands with any person, firm or corporation except in furtherance of the business of the Company carried on outside the Cayman Islands; provided that nothing in this clause shall be construed as to prevent the Company effecting and concluding contracts in the Cayman Islands, and exercising in the Cayman Islands all of its powers necessary for the carrying on of its business outside the Cayman Islands.</w:t>
      </w:r>
    </w:p>
    <w:p>
      <w:pPr>
        <w:spacing w:after="0" w:line="179"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liability of each member is limited to the amount from time to time unpaid on such member’s shares.</w:t>
      </w:r>
    </w:p>
    <w:p>
      <w:pPr>
        <w:spacing w:after="0" w:line="225" w:lineRule="exact"/>
        <w:rPr>
          <w:rFonts w:ascii="Times New Roman" w:cs="Times New Roman" w:eastAsia="Times New Roman" w:hAnsi="Times New Roman"/>
          <w:sz w:val="18"/>
          <w:szCs w:val="18"/>
          <w:color w:val="231F20"/>
        </w:rPr>
      </w:pPr>
    </w:p>
    <w:p>
      <w:pPr>
        <w:ind w:left="640" w:hanging="632"/>
        <w:spacing w:after="0"/>
        <w:tabs>
          <w:tab w:leader="none" w:pos="6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share capital of the Company is US$40,000,000.00 divided into 40,000,000,000 shares of a nominal or par value of US$0.001 each.</w:t>
      </w:r>
    </w:p>
    <w:p>
      <w:pPr>
        <w:spacing w:after="0" w:line="225" w:lineRule="exact"/>
        <w:rPr>
          <w:rFonts w:ascii="Times New Roman" w:cs="Times New Roman" w:eastAsia="Times New Roman" w:hAnsi="Times New Roman"/>
          <w:sz w:val="18"/>
          <w:szCs w:val="18"/>
          <w:color w:val="231F20"/>
        </w:rPr>
      </w:pPr>
    </w:p>
    <w:p>
      <w:pPr>
        <w:ind w:left="640" w:hanging="632"/>
        <w:spacing w:after="0" w:line="282" w:lineRule="auto"/>
        <w:tabs>
          <w:tab w:leader="none" w:pos="6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may exercise the power contained in the Companies Act to deregister in the Cayman Islands and be registered by way of continuation in another jurisdiction.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231F20"/>
        </w:rPr>
        <w:t>THE COMPANIES ACT (AS REVISED)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COMPANY LIMITED BY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THE THIRD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ARTICLES OF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Kingsoft Cloud Holdings Limited</w:t>
      </w:r>
    </w:p>
    <w:p>
      <w:pPr>
        <w:spacing w:after="0" w:line="34" w:lineRule="exact"/>
        <w:rPr>
          <w:sz w:val="20"/>
          <w:szCs w:val="20"/>
          <w:color w:val="auto"/>
        </w:rPr>
      </w:pPr>
    </w:p>
    <w:p>
      <w:pPr>
        <w:jc w:val="center"/>
        <w:spacing w:after="0" w:line="206" w:lineRule="exact"/>
        <w:rPr>
          <w:sz w:val="20"/>
          <w:szCs w:val="20"/>
          <w:color w:val="auto"/>
        </w:rPr>
      </w:pPr>
      <w:r>
        <w:rPr>
          <w:rFonts w:ascii="SimSun" w:cs="SimSun" w:eastAsia="SimSun" w:hAnsi="SimSun"/>
          <w:sz w:val="18"/>
          <w:szCs w:val="18"/>
          <w:color w:val="auto"/>
        </w:rPr>
        <w:t>金山雲控股有限公司</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(Adopted by way of special resolution passed on June 30,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58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8"/>
                <w:szCs w:val="18"/>
                <w:b w:val="1"/>
                <w:bCs w:val="1"/>
                <w:color w:val="231F20"/>
                <w:w w:val="96"/>
              </w:rPr>
              <w:t>INDEX</w:t>
            </w:r>
          </w:p>
        </w:tc>
        <w:tc>
          <w:tcPr>
            <w:tcW w:w="22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12"/>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SUBJECT</w:t>
            </w:r>
          </w:p>
        </w:tc>
        <w:tc>
          <w:tcPr>
            <w:tcW w:w="7360" w:type="dxa"/>
            <w:vAlign w:val="bottom"/>
            <w:gridSpan w:val="3"/>
          </w:tcPr>
          <w:p>
            <w:pPr>
              <w:spacing w:after="0"/>
              <w:rPr>
                <w:sz w:val="24"/>
                <w:szCs w:val="24"/>
                <w:color w:val="auto"/>
              </w:rPr>
            </w:pPr>
          </w:p>
        </w:tc>
        <w:tc>
          <w:tcPr>
            <w:tcW w:w="222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Article No.</w:t>
            </w:r>
          </w:p>
        </w:tc>
      </w:tr>
      <w:tr>
        <w:trPr>
          <w:trHeight w:val="434"/>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Table A</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Interpretation</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Alteration Of Capital</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 Rights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Variation Of Rights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11-12</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12-13</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 Certificates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Lien</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Calls On Shares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16-17</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Forfeiture Of Shares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17-18</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Register Of Members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Record Dates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19-20</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Transfer Of Shares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Transmission Of Shares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Untraceable Members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22-23</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General Meetings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23-25</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Notice Of General Meetings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Proceedings At General Meetings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26-27</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Voting</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27-30</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Proxies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30-31</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Corporations Acting By Representatives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31-32</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 Action By Written Resolutions Of Members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32-33</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Disqualification Of Directors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Executive Directors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Alternate Directors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34-35</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Directors’ Fees And Expenses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35-36</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Directors’ Interests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36-38</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General Powers Of The Directors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38-40</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Borrowing Powers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Proceedings Of The Directors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41-42</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Officers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43-44</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Register of Directors and Officers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Minutes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Seal</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44-45</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Authentication Of Documents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Destruction Of Documents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45-46</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Dividends And Other Payments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46-50</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Reserves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Capitalisation</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Accounting Records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Audit</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Notices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54-55</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Signatures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Winding Up</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55-56</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Indemnity</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Amendment To Memorandum and Articles of Association And Name of Company</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Information</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Financial Year</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648"/>
        </w:trPr>
        <w:tc>
          <w:tcPr>
            <w:tcW w:w="5920" w:type="dxa"/>
            <w:vAlign w:val="bottom"/>
            <w:tcBorders>
              <w:bottom w:val="single" w:sz="8" w:color="auto"/>
            </w:tcBorders>
            <w:gridSpan w:val="3"/>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11" w:name="page12"/>
    <w:bookmarkEnd w:id="11"/>
    <w:p>
      <w:pPr>
        <w:jc w:val="center"/>
        <w:ind w:right="60"/>
        <w:spacing w:after="0"/>
        <w:rPr>
          <w:sz w:val="20"/>
          <w:szCs w:val="20"/>
          <w:color w:val="auto"/>
        </w:rPr>
      </w:pPr>
      <w:r>
        <w:rPr>
          <w:rFonts w:ascii="Times New Roman" w:cs="Times New Roman" w:eastAsia="Times New Roman" w:hAnsi="Times New Roman"/>
          <w:sz w:val="18"/>
          <w:szCs w:val="18"/>
          <w:b w:val="1"/>
          <w:bCs w:val="1"/>
          <w:u w:val="single" w:color="auto"/>
          <w:color w:val="231F20"/>
        </w:rPr>
        <w:t>TABLE A</w:t>
      </w:r>
    </w:p>
    <w:p>
      <w:pPr>
        <w:spacing w:after="0" w:line="229"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regulations in Table A in the Schedule to the Companies Act (As Revised) do not apply to the Company.</w:t>
      </w:r>
    </w:p>
    <w:p>
      <w:pPr>
        <w:spacing w:after="0" w:line="221" w:lineRule="exact"/>
        <w:rPr>
          <w:rFonts w:ascii="Times New Roman" w:cs="Times New Roman" w:eastAsia="Times New Roman" w:hAnsi="Times New Roman"/>
          <w:sz w:val="18"/>
          <w:szCs w:val="18"/>
          <w:color w:val="231F20"/>
        </w:rPr>
      </w:pPr>
    </w:p>
    <w:p>
      <w:pPr>
        <w:ind w:left="4820"/>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u w:val="single" w:color="auto"/>
          <w:color w:val="231F20"/>
        </w:rPr>
        <w:t>INTERPRETATION</w:t>
      </w:r>
    </w:p>
    <w:p>
      <w:pPr>
        <w:spacing w:after="0" w:line="229" w:lineRule="exact"/>
        <w:rPr>
          <w:rFonts w:ascii="Times New Roman" w:cs="Times New Roman" w:eastAsia="Times New Roman" w:hAnsi="Times New Roman"/>
          <w:sz w:val="18"/>
          <w:szCs w:val="18"/>
          <w:color w:val="231F20"/>
        </w:rPr>
      </w:pPr>
    </w:p>
    <w:p>
      <w:pPr>
        <w:ind w:left="1300" w:right="60" w:hanging="1292"/>
        <w:spacing w:after="0" w:line="282" w:lineRule="auto"/>
        <w:tabs>
          <w:tab w:leader="none" w:pos="652"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(1)In these Articles, unless the context otherwise requires, the words standing in the first column of the following table shall bear the meaning set opposite them respectively in the second column.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w w:val="96"/>
              </w:rPr>
              <w:t>WORD</w:t>
            </w:r>
          </w:p>
        </w:tc>
        <w:tc>
          <w:tcPr>
            <w:tcW w:w="8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231F20"/>
              </w:rPr>
              <w:t>MEANING</w:t>
            </w:r>
          </w:p>
        </w:tc>
      </w:tr>
      <w:tr>
        <w:trPr>
          <w:trHeight w:val="20"/>
        </w:trPr>
        <w:tc>
          <w:tcPr>
            <w:tcW w:w="3020" w:type="dxa"/>
            <w:vAlign w:val="bottom"/>
          </w:tcPr>
          <w:p>
            <w:pPr>
              <w:spacing w:after="0" w:line="20" w:lineRule="exact"/>
              <w:rPr>
                <w:sz w:val="1"/>
                <w:szCs w:val="1"/>
                <w:color w:val="auto"/>
              </w:rPr>
            </w:pPr>
          </w:p>
        </w:tc>
        <w:tc>
          <w:tcPr>
            <w:tcW w:w="580" w:type="dxa"/>
            <w:vAlign w:val="bottom"/>
            <w:shd w:val="clear" w:color="auto" w:fill="231F2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434"/>
        </w:trPr>
        <w:tc>
          <w:tcPr>
            <w:tcW w:w="302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“Act”</w:t>
            </w: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6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The Companies Act, Cap. 22 (Law 3 of 1961, as consolidated and revised) of the</w:t>
            </w:r>
          </w:p>
        </w:tc>
      </w:tr>
      <w:tr>
        <w:trPr>
          <w:trHeight w:val="234"/>
        </w:trPr>
        <w:tc>
          <w:tcPr>
            <w:tcW w:w="3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6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432"/>
        </w:trPr>
        <w:tc>
          <w:tcPr>
            <w:tcW w:w="4440" w:type="dxa"/>
            <w:vAlign w:val="bottom"/>
            <w:gridSpan w:val="3"/>
          </w:tcPr>
          <w:p>
            <w:pPr>
              <w:ind w:left="1300"/>
              <w:spacing w:after="0"/>
              <w:rPr>
                <w:sz w:val="20"/>
                <w:szCs w:val="20"/>
                <w:color w:val="auto"/>
              </w:rPr>
            </w:pPr>
            <w:r>
              <w:rPr>
                <w:rFonts w:ascii="Times New Roman" w:cs="Times New Roman" w:eastAsia="Times New Roman" w:hAnsi="Times New Roman"/>
                <w:sz w:val="18"/>
                <w:szCs w:val="18"/>
                <w:b w:val="1"/>
                <w:bCs w:val="1"/>
                <w:color w:val="auto"/>
              </w:rPr>
              <w:t>“ADSs”</w:t>
            </w:r>
          </w:p>
        </w:tc>
        <w:tc>
          <w:tcPr>
            <w:tcW w:w="686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American Depositary Shares representing the Company’s ordinary shares.</w:t>
            </w:r>
          </w:p>
        </w:tc>
      </w:tr>
      <w:tr>
        <w:trPr>
          <w:trHeight w:val="414"/>
        </w:trPr>
        <w:tc>
          <w:tcPr>
            <w:tcW w:w="4440" w:type="dxa"/>
            <w:vAlign w:val="bottom"/>
            <w:gridSpan w:val="3"/>
          </w:tcPr>
          <w:p>
            <w:pPr>
              <w:ind w:left="1300"/>
              <w:spacing w:after="0"/>
              <w:rPr>
                <w:sz w:val="20"/>
                <w:szCs w:val="20"/>
                <w:color w:val="auto"/>
              </w:rPr>
            </w:pPr>
            <w:r>
              <w:rPr>
                <w:rFonts w:ascii="Times New Roman" w:cs="Times New Roman" w:eastAsia="Times New Roman" w:hAnsi="Times New Roman"/>
                <w:sz w:val="18"/>
                <w:szCs w:val="18"/>
                <w:b w:val="1"/>
                <w:bCs w:val="1"/>
                <w:color w:val="auto"/>
              </w:rPr>
              <w:t>“Articles”</w:t>
            </w:r>
          </w:p>
        </w:tc>
        <w:tc>
          <w:tcPr>
            <w:tcW w:w="686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these Articles in their present form or as supplemented or amended or substituted</w:t>
            </w:r>
          </w:p>
        </w:tc>
      </w:tr>
      <w:tr>
        <w:trPr>
          <w:trHeight w:val="234"/>
        </w:trPr>
        <w:tc>
          <w:tcPr>
            <w:tcW w:w="3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6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from time to time.</w:t>
            </w:r>
          </w:p>
        </w:tc>
      </w:tr>
      <w:tr>
        <w:trPr>
          <w:trHeight w:val="414"/>
        </w:trPr>
        <w:tc>
          <w:tcPr>
            <w:tcW w:w="4440" w:type="dxa"/>
            <w:vAlign w:val="bottom"/>
            <w:gridSpan w:val="3"/>
          </w:tcPr>
          <w:p>
            <w:pPr>
              <w:ind w:left="1300"/>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686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the audit committee of the Company formed by the Board pursuant to Article 125</w:t>
            </w:r>
          </w:p>
        </w:tc>
      </w:tr>
      <w:tr>
        <w:trPr>
          <w:trHeight w:val="234"/>
        </w:trPr>
        <w:tc>
          <w:tcPr>
            <w:tcW w:w="3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6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hereof, or any successor audit committee.</w:t>
            </w:r>
          </w:p>
        </w:tc>
      </w:tr>
      <w:tr>
        <w:trPr>
          <w:trHeight w:val="414"/>
        </w:trPr>
        <w:tc>
          <w:tcPr>
            <w:tcW w:w="4440" w:type="dxa"/>
            <w:vAlign w:val="bottom"/>
            <w:gridSpan w:val="3"/>
          </w:tcPr>
          <w:p>
            <w:pPr>
              <w:ind w:left="1300"/>
              <w:spacing w:after="0"/>
              <w:rPr>
                <w:sz w:val="20"/>
                <w:szCs w:val="20"/>
                <w:color w:val="auto"/>
              </w:rPr>
            </w:pPr>
            <w:r>
              <w:rPr>
                <w:rFonts w:ascii="Times New Roman" w:cs="Times New Roman" w:eastAsia="Times New Roman" w:hAnsi="Times New Roman"/>
                <w:sz w:val="18"/>
                <w:szCs w:val="18"/>
                <w:b w:val="1"/>
                <w:bCs w:val="1"/>
                <w:color w:val="auto"/>
              </w:rPr>
              <w:t>“Auditor”</w:t>
            </w:r>
          </w:p>
        </w:tc>
        <w:tc>
          <w:tcPr>
            <w:tcW w:w="686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the independent auditor of the Company which shall be an internationally</w:t>
            </w:r>
          </w:p>
        </w:tc>
      </w:tr>
      <w:tr>
        <w:trPr>
          <w:trHeight w:val="234"/>
        </w:trPr>
        <w:tc>
          <w:tcPr>
            <w:tcW w:w="3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6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recognized firm of independent accountants.</w:t>
            </w:r>
          </w:p>
        </w:tc>
      </w:tr>
      <w:tr>
        <w:trPr>
          <w:trHeight w:val="414"/>
        </w:trPr>
        <w:tc>
          <w:tcPr>
            <w:tcW w:w="4440" w:type="dxa"/>
            <w:vAlign w:val="bottom"/>
            <w:gridSpan w:val="3"/>
          </w:tcPr>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“Directors”</w:t>
            </w:r>
          </w:p>
        </w:tc>
        <w:tc>
          <w:tcPr>
            <w:tcW w:w="686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the board of directors of the Company or the directors present at a meeting of</w:t>
            </w:r>
          </w:p>
        </w:tc>
      </w:tr>
      <w:tr>
        <w:trPr>
          <w:trHeight w:val="234"/>
        </w:trPr>
        <w:tc>
          <w:tcPr>
            <w:tcW w:w="3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6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directors of the Company at which a quorum is present.</w:t>
            </w:r>
          </w:p>
        </w:tc>
      </w:tr>
      <w:tr>
        <w:trPr>
          <w:trHeight w:val="432"/>
        </w:trPr>
        <w:tc>
          <w:tcPr>
            <w:tcW w:w="4440" w:type="dxa"/>
            <w:vAlign w:val="bottom"/>
            <w:gridSpan w:val="3"/>
          </w:tcPr>
          <w:p>
            <w:pPr>
              <w:ind w:left="13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686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the share capital from time to time of the Company.</w:t>
            </w:r>
          </w:p>
        </w:tc>
      </w:tr>
      <w:tr>
        <w:trPr>
          <w:trHeight w:val="414"/>
        </w:trPr>
        <w:tc>
          <w:tcPr>
            <w:tcW w:w="4440" w:type="dxa"/>
            <w:vAlign w:val="bottom"/>
            <w:gridSpan w:val="3"/>
          </w:tcPr>
          <w:p>
            <w:pPr>
              <w:ind w:left="1300"/>
              <w:spacing w:after="0"/>
              <w:rPr>
                <w:sz w:val="20"/>
                <w:szCs w:val="20"/>
                <w:color w:val="auto"/>
              </w:rPr>
            </w:pPr>
            <w:r>
              <w:rPr>
                <w:rFonts w:ascii="Times New Roman" w:cs="Times New Roman" w:eastAsia="Times New Roman" w:hAnsi="Times New Roman"/>
                <w:sz w:val="18"/>
                <w:szCs w:val="18"/>
                <w:b w:val="1"/>
                <w:bCs w:val="1"/>
                <w:color w:val="auto"/>
              </w:rPr>
              <w:t>“clear days”</w:t>
            </w:r>
          </w:p>
        </w:tc>
        <w:tc>
          <w:tcPr>
            <w:tcW w:w="686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in relation to the period of a notice, that period excluding the day when the notice</w:t>
            </w:r>
          </w:p>
        </w:tc>
      </w:tr>
      <w:tr>
        <w:trPr>
          <w:trHeight w:val="216"/>
        </w:trPr>
        <w:tc>
          <w:tcPr>
            <w:tcW w:w="3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6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is given or deemed to be given and the day for which it is given or on which it is to</w:t>
            </w:r>
          </w:p>
        </w:tc>
      </w:tr>
      <w:tr>
        <w:trPr>
          <w:trHeight w:val="234"/>
        </w:trPr>
        <w:tc>
          <w:tcPr>
            <w:tcW w:w="3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6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take effect.</w:t>
            </w:r>
          </w:p>
        </w:tc>
      </w:tr>
      <w:tr>
        <w:trPr>
          <w:trHeight w:val="414"/>
        </w:trPr>
        <w:tc>
          <w:tcPr>
            <w:tcW w:w="4440" w:type="dxa"/>
            <w:vAlign w:val="bottom"/>
            <w:gridSpan w:val="3"/>
          </w:tcPr>
          <w:p>
            <w:pPr>
              <w:ind w:left="1300"/>
              <w:spacing w:after="0"/>
              <w:rPr>
                <w:sz w:val="20"/>
                <w:szCs w:val="20"/>
                <w:color w:val="auto"/>
              </w:rPr>
            </w:pPr>
            <w:r>
              <w:rPr>
                <w:rFonts w:ascii="Times New Roman" w:cs="Times New Roman" w:eastAsia="Times New Roman" w:hAnsi="Times New Roman"/>
                <w:sz w:val="18"/>
                <w:szCs w:val="18"/>
                <w:b w:val="1"/>
                <w:bCs w:val="1"/>
                <w:color w:val="auto"/>
              </w:rPr>
              <w:t>“clearing house”</w:t>
            </w:r>
          </w:p>
        </w:tc>
        <w:tc>
          <w:tcPr>
            <w:tcW w:w="686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a clearing house recognised by the laws of the jurisdiction in which the shares of</w:t>
            </w:r>
          </w:p>
        </w:tc>
      </w:tr>
      <w:tr>
        <w:trPr>
          <w:trHeight w:val="216"/>
        </w:trPr>
        <w:tc>
          <w:tcPr>
            <w:tcW w:w="3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6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the Company (or depositary receipts therefor) are listed or quoted on a stock</w:t>
            </w:r>
          </w:p>
        </w:tc>
      </w:tr>
      <w:tr>
        <w:trPr>
          <w:trHeight w:val="234"/>
        </w:trPr>
        <w:tc>
          <w:tcPr>
            <w:tcW w:w="3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6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exchange or interdealer quotation system in such jurisdiction.</w:t>
            </w:r>
          </w:p>
        </w:tc>
      </w:tr>
      <w:tr>
        <w:trPr>
          <w:trHeight w:val="675"/>
        </w:trPr>
        <w:tc>
          <w:tcPr>
            <w:tcW w:w="30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00"/>
          </w:cols>
          <w:pgMar w:left="320" w:top="900" w:right="279" w:bottom="1440" w:gutter="0" w:footer="0" w:header="0"/>
        </w:sectPr>
      </w:pPr>
    </w:p>
    <w:bookmarkStart w:id="12" w:name="page13"/>
    <w:bookmarkEnd w:id="12"/>
    <w:p>
      <w:pPr>
        <w:ind w:left="180"/>
        <w:spacing w:after="0"/>
        <w:rPr>
          <w:sz w:val="20"/>
          <w:szCs w:val="20"/>
          <w:color w:val="auto"/>
        </w:rPr>
      </w:pPr>
      <w:r>
        <w:rPr>
          <w:rFonts w:ascii="Times New Roman" w:cs="Times New Roman" w:eastAsia="Times New Roman" w:hAnsi="Times New Roman"/>
          <w:sz w:val="18"/>
          <w:szCs w:val="18"/>
          <w:b w:val="1"/>
          <w:bCs w:val="1"/>
          <w:color w:val="auto"/>
        </w:rPr>
        <w:t>“Communication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“Companies Ordinance”</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“competent regulatory authority”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right="460"/>
        <w:spacing w:after="0" w:line="537" w:lineRule="auto"/>
        <w:rPr>
          <w:sz w:val="20"/>
          <w:szCs w:val="20"/>
          <w:color w:val="auto"/>
        </w:rPr>
      </w:pPr>
      <w:r>
        <w:rPr>
          <w:rFonts w:ascii="Times New Roman" w:cs="Times New Roman" w:eastAsia="Times New Roman" w:hAnsi="Times New Roman"/>
          <w:sz w:val="18"/>
          <w:szCs w:val="18"/>
          <w:b w:val="1"/>
          <w:bCs w:val="1"/>
          <w:color w:val="auto"/>
        </w:rPr>
        <w:t xml:space="preserve">“debenture”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“debenture holder” “Designated Stock Exchange”</w:t>
      </w:r>
    </w:p>
    <w:p>
      <w:pPr>
        <w:spacing w:after="0" w:line="200" w:lineRule="exact"/>
        <w:rPr>
          <w:sz w:val="20"/>
          <w:szCs w:val="20"/>
          <w:color w:val="auto"/>
        </w:rPr>
      </w:pPr>
    </w:p>
    <w:p>
      <w:pPr>
        <w:spacing w:after="0" w:line="3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“dollars”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“Exchange Act”</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“head office”</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“Hong Kong Listing Rules”</w:t>
      </w:r>
    </w:p>
    <w:p>
      <w:pPr>
        <w:spacing w:after="0" w:line="200" w:lineRule="exact"/>
        <w:rPr>
          <w:sz w:val="20"/>
          <w:szCs w:val="20"/>
          <w:color w:val="auto"/>
        </w:rPr>
      </w:pPr>
    </w:p>
    <w:p>
      <w:pPr>
        <w:spacing w:after="0" w:line="241" w:lineRule="exact"/>
        <w:rPr>
          <w:sz w:val="20"/>
          <w:szCs w:val="20"/>
          <w:color w:val="auto"/>
        </w:rPr>
      </w:pPr>
    </w:p>
    <w:p>
      <w:pPr>
        <w:ind w:left="180" w:right="940"/>
        <w:spacing w:after="0" w:line="537" w:lineRule="auto"/>
        <w:rPr>
          <w:sz w:val="20"/>
          <w:szCs w:val="20"/>
          <w:color w:val="auto"/>
        </w:rPr>
      </w:pPr>
      <w:r>
        <w:rPr>
          <w:rFonts w:ascii="Times New Roman" w:cs="Times New Roman" w:eastAsia="Times New Roman" w:hAnsi="Times New Roman"/>
          <w:sz w:val="18"/>
          <w:szCs w:val="18"/>
          <w:b w:val="1"/>
          <w:bCs w:val="1"/>
          <w:color w:val="auto"/>
        </w:rPr>
        <w:t>“Hong Kong Stock Exchange” “HKSCC”</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8"/>
          <w:szCs w:val="18"/>
          <w:color w:val="auto"/>
        </w:rPr>
        <w:t>shall mean video, video-conferencing, internet or online conferencing applications, telephone or tele-conferencing and/or any other video-communication, internet or online conferencing application or telecommunications facilities by means of which all Persons participating in a meeting are capable of hearing and being heard by each other and all members’ rights to speak and vote at the meeting are maintained.</w:t>
      </w:r>
    </w:p>
    <w:p>
      <w:pPr>
        <w:spacing w:after="0" w:line="201"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Kingsoft Cloud Holdings Limited</w:t>
      </w:r>
      <w:r>
        <w:rPr>
          <w:rFonts w:ascii="SimSun" w:cs="SimSun" w:eastAsia="SimSun" w:hAnsi="SimSun"/>
          <w:sz w:val="18"/>
          <w:szCs w:val="18"/>
          <w:color w:val="auto"/>
        </w:rPr>
        <w:t>（金山雲控股有限公司）</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Companies Ordinance (Cap. 622 of the Laws of Hong Kong), as amended from time to time.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competent regulatory authority in the territory where the shares of the Company (or depositary receipts therefor) are listed or quoted on a stock exchange or interdealer quotation system in such territory.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debenture stock and debenture stockholder respectively.</w:t>
      </w:r>
    </w:p>
    <w:p>
      <w:pPr>
        <w:spacing w:after="0" w:line="225" w:lineRule="exact"/>
        <w:rPr>
          <w:sz w:val="20"/>
          <w:szCs w:val="20"/>
          <w:color w:val="auto"/>
        </w:rPr>
      </w:pPr>
    </w:p>
    <w:p>
      <w:pPr>
        <w:jc w:val="both"/>
        <w:spacing w:after="0" w:line="261" w:lineRule="auto"/>
        <w:tabs>
          <w:tab w:leader="none" w:pos="24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exchange in the United States of America on which any shares or ADSs are listed for trading, including but not limited to, the Nasdaq Global Select Market; and/or (ii) the Hong Kong Stock Exchange on which any Shares are listed for trading.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the legal currency of the United States of America.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such office of the Company as the Directors may from time to time determine to be the principal office of the Company.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Rules Governing the Listing of Securities on The Stock Exchange of Hong Kong Limited.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Stock Exchange of Hong Kong Limited.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Hong Kong Securities Clearing Company Limited including, where the context so requires, its agents, nominees, representatives, officers and employees.</w:t>
      </w:r>
    </w:p>
    <w:p>
      <w:pPr>
        <w:spacing w:after="0" w:line="200" w:lineRule="exact"/>
        <w:rPr>
          <w:sz w:val="20"/>
          <w:szCs w:val="20"/>
          <w:color w:val="auto"/>
        </w:rPr>
      </w:pPr>
    </w:p>
    <w:p>
      <w:pPr>
        <w:spacing w:after="0" w:line="20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460" w:space="720"/>
            <w:col w:w="6000"/>
          </w:cols>
          <w:pgMar w:left="1440" w:top="927" w:right="2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0"/>
        </w:trPr>
        <w:tc>
          <w:tcPr>
            <w:tcW w:w="450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“Member”</w:t>
            </w:r>
          </w:p>
        </w:tc>
        <w:tc>
          <w:tcPr>
            <w:tcW w:w="6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a duly registered holder from time to time of the shares in the capital of the</w:t>
            </w:r>
          </w:p>
        </w:tc>
      </w:tr>
      <w:tr>
        <w:trPr>
          <w:trHeight w:val="234"/>
        </w:trPr>
        <w:tc>
          <w:tcPr>
            <w:tcW w:w="4500" w:type="dxa"/>
            <w:vAlign w:val="bottom"/>
          </w:tcPr>
          <w:p>
            <w:pPr>
              <w:spacing w:after="0"/>
              <w:rPr>
                <w:sz w:val="20"/>
                <w:szCs w:val="20"/>
                <w:color w:val="auto"/>
              </w:rPr>
            </w:pPr>
          </w:p>
        </w:tc>
        <w:tc>
          <w:tcPr>
            <w:tcW w:w="6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Company.</w:t>
            </w:r>
          </w:p>
        </w:tc>
      </w:tr>
      <w:tr>
        <w:trPr>
          <w:trHeight w:val="432"/>
        </w:trPr>
        <w:tc>
          <w:tcPr>
            <w:tcW w:w="450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“Memorandum of Association”</w:t>
            </w:r>
          </w:p>
        </w:tc>
        <w:tc>
          <w:tcPr>
            <w:tcW w:w="6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the memorandum of association of the Company, as amended from time to time.</w:t>
            </w:r>
          </w:p>
        </w:tc>
      </w:tr>
      <w:tr>
        <w:trPr>
          <w:trHeight w:val="432"/>
        </w:trPr>
        <w:tc>
          <w:tcPr>
            <w:tcW w:w="450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6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a calendar month.</w:t>
            </w:r>
          </w:p>
        </w:tc>
      </w:tr>
      <w:tr>
        <w:trPr>
          <w:trHeight w:val="432"/>
        </w:trPr>
        <w:tc>
          <w:tcPr>
            <w:tcW w:w="450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“Nasdaq”</w:t>
            </w:r>
          </w:p>
        </w:tc>
        <w:tc>
          <w:tcPr>
            <w:tcW w:w="6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414"/>
        </w:trPr>
        <w:tc>
          <w:tcPr>
            <w:tcW w:w="450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“Notice”</w:t>
            </w:r>
          </w:p>
        </w:tc>
        <w:tc>
          <w:tcPr>
            <w:tcW w:w="6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written notice unless otherwise specifically stated and as further defined in these</w:t>
            </w:r>
          </w:p>
        </w:tc>
      </w:tr>
      <w:tr>
        <w:trPr>
          <w:trHeight w:val="234"/>
        </w:trPr>
        <w:tc>
          <w:tcPr>
            <w:tcW w:w="4500" w:type="dxa"/>
            <w:vAlign w:val="bottom"/>
          </w:tcPr>
          <w:p>
            <w:pPr>
              <w:spacing w:after="0"/>
              <w:rPr>
                <w:sz w:val="20"/>
                <w:szCs w:val="20"/>
                <w:color w:val="auto"/>
              </w:rPr>
            </w:pPr>
          </w:p>
        </w:tc>
        <w:tc>
          <w:tcPr>
            <w:tcW w:w="6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Articles.</w:t>
            </w:r>
          </w:p>
        </w:tc>
      </w:tr>
      <w:tr>
        <w:trPr>
          <w:trHeight w:val="432"/>
        </w:trPr>
        <w:tc>
          <w:tcPr>
            <w:tcW w:w="450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“Office”</w:t>
            </w:r>
          </w:p>
        </w:tc>
        <w:tc>
          <w:tcPr>
            <w:tcW w:w="6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the registered office of the Company for the time being.</w:t>
            </w:r>
          </w:p>
        </w:tc>
      </w:tr>
      <w:tr>
        <w:trPr>
          <w:trHeight w:val="414"/>
        </w:trPr>
        <w:tc>
          <w:tcPr>
            <w:tcW w:w="450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“ordinary resolution”</w:t>
            </w:r>
          </w:p>
        </w:tc>
        <w:tc>
          <w:tcPr>
            <w:tcW w:w="6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a resolution shall be an ordinary resolution when it has been passed by a simple</w:t>
            </w:r>
          </w:p>
        </w:tc>
      </w:tr>
      <w:tr>
        <w:trPr>
          <w:trHeight w:val="216"/>
        </w:trPr>
        <w:tc>
          <w:tcPr>
            <w:tcW w:w="4500" w:type="dxa"/>
            <w:vAlign w:val="bottom"/>
          </w:tcPr>
          <w:p>
            <w:pPr>
              <w:spacing w:after="0"/>
              <w:rPr>
                <w:sz w:val="18"/>
                <w:szCs w:val="18"/>
                <w:color w:val="auto"/>
              </w:rPr>
            </w:pPr>
          </w:p>
        </w:tc>
        <w:tc>
          <w:tcPr>
            <w:tcW w:w="6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majority of votes cast by such Members as, being entitled so to do, vote in person</w:t>
            </w:r>
          </w:p>
        </w:tc>
      </w:tr>
      <w:tr>
        <w:trPr>
          <w:trHeight w:val="216"/>
        </w:trPr>
        <w:tc>
          <w:tcPr>
            <w:tcW w:w="4500" w:type="dxa"/>
            <w:vAlign w:val="bottom"/>
          </w:tcPr>
          <w:p>
            <w:pPr>
              <w:spacing w:after="0"/>
              <w:rPr>
                <w:sz w:val="18"/>
                <w:szCs w:val="18"/>
                <w:color w:val="auto"/>
              </w:rPr>
            </w:pPr>
          </w:p>
        </w:tc>
        <w:tc>
          <w:tcPr>
            <w:tcW w:w="6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or, in the case of any Member being a corporation, by its duly authorised</w:t>
            </w:r>
          </w:p>
        </w:tc>
      </w:tr>
      <w:tr>
        <w:trPr>
          <w:trHeight w:val="216"/>
        </w:trPr>
        <w:tc>
          <w:tcPr>
            <w:tcW w:w="4500" w:type="dxa"/>
            <w:vAlign w:val="bottom"/>
          </w:tcPr>
          <w:p>
            <w:pPr>
              <w:spacing w:after="0"/>
              <w:rPr>
                <w:sz w:val="18"/>
                <w:szCs w:val="18"/>
                <w:color w:val="auto"/>
              </w:rPr>
            </w:pPr>
          </w:p>
        </w:tc>
        <w:tc>
          <w:tcPr>
            <w:tcW w:w="6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representative or, where proxies are allowed, by proxy at an annual general</w:t>
            </w:r>
          </w:p>
        </w:tc>
      </w:tr>
      <w:tr>
        <w:trPr>
          <w:trHeight w:val="216"/>
        </w:trPr>
        <w:tc>
          <w:tcPr>
            <w:tcW w:w="4500" w:type="dxa"/>
            <w:vAlign w:val="bottom"/>
          </w:tcPr>
          <w:p>
            <w:pPr>
              <w:spacing w:after="0"/>
              <w:rPr>
                <w:sz w:val="18"/>
                <w:szCs w:val="18"/>
                <w:color w:val="auto"/>
              </w:rPr>
            </w:pPr>
          </w:p>
        </w:tc>
        <w:tc>
          <w:tcPr>
            <w:tcW w:w="6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meeting of which not less twenty-one (21) clear days’ Notice and other general</w:t>
            </w:r>
          </w:p>
        </w:tc>
      </w:tr>
      <w:tr>
        <w:trPr>
          <w:trHeight w:val="216"/>
        </w:trPr>
        <w:tc>
          <w:tcPr>
            <w:tcW w:w="4500" w:type="dxa"/>
            <w:vAlign w:val="bottom"/>
          </w:tcPr>
          <w:p>
            <w:pPr>
              <w:spacing w:after="0"/>
              <w:rPr>
                <w:sz w:val="18"/>
                <w:szCs w:val="18"/>
                <w:color w:val="auto"/>
              </w:rPr>
            </w:pPr>
          </w:p>
        </w:tc>
        <w:tc>
          <w:tcPr>
            <w:tcW w:w="6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meetings of which not less than fourteen (14) clear days’ Notice in writing has</w:t>
            </w:r>
          </w:p>
        </w:tc>
      </w:tr>
      <w:tr>
        <w:trPr>
          <w:trHeight w:val="234"/>
        </w:trPr>
        <w:tc>
          <w:tcPr>
            <w:tcW w:w="4500" w:type="dxa"/>
            <w:vAlign w:val="bottom"/>
          </w:tcPr>
          <w:p>
            <w:pPr>
              <w:spacing w:after="0"/>
              <w:rPr>
                <w:sz w:val="20"/>
                <w:szCs w:val="20"/>
                <w:color w:val="auto"/>
              </w:rPr>
            </w:pPr>
          </w:p>
        </w:tc>
        <w:tc>
          <w:tcPr>
            <w:tcW w:w="6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been duly given.</w:t>
            </w:r>
          </w:p>
        </w:tc>
      </w:tr>
      <w:tr>
        <w:trPr>
          <w:trHeight w:val="432"/>
        </w:trPr>
        <w:tc>
          <w:tcPr>
            <w:tcW w:w="450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“paid up”</w:t>
            </w:r>
          </w:p>
        </w:tc>
        <w:tc>
          <w:tcPr>
            <w:tcW w:w="6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paid up or credited as paid up.</w:t>
            </w:r>
          </w:p>
        </w:tc>
      </w:tr>
      <w:tr>
        <w:trPr>
          <w:trHeight w:val="414"/>
        </w:trPr>
        <w:tc>
          <w:tcPr>
            <w:tcW w:w="450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6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shall  mean  any  natural  person,  firm,  company,  joint  venture,  partnership,</w:t>
            </w:r>
          </w:p>
        </w:tc>
      </w:tr>
      <w:tr>
        <w:trPr>
          <w:trHeight w:val="216"/>
        </w:trPr>
        <w:tc>
          <w:tcPr>
            <w:tcW w:w="4500" w:type="dxa"/>
            <w:vAlign w:val="bottom"/>
          </w:tcPr>
          <w:p>
            <w:pPr>
              <w:spacing w:after="0"/>
              <w:rPr>
                <w:sz w:val="18"/>
                <w:szCs w:val="18"/>
                <w:color w:val="auto"/>
              </w:rPr>
            </w:pPr>
          </w:p>
        </w:tc>
        <w:tc>
          <w:tcPr>
            <w:tcW w:w="6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corporation, association or other entity (whether or not having a separate legal</w:t>
            </w:r>
          </w:p>
        </w:tc>
      </w:tr>
      <w:tr>
        <w:trPr>
          <w:trHeight w:val="234"/>
        </w:trPr>
        <w:tc>
          <w:tcPr>
            <w:tcW w:w="4500" w:type="dxa"/>
            <w:vAlign w:val="bottom"/>
          </w:tcPr>
          <w:p>
            <w:pPr>
              <w:spacing w:after="0"/>
              <w:rPr>
                <w:sz w:val="20"/>
                <w:szCs w:val="20"/>
                <w:color w:val="auto"/>
              </w:rPr>
            </w:pPr>
          </w:p>
        </w:tc>
        <w:tc>
          <w:tcPr>
            <w:tcW w:w="6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personality) or any of them as the context so requires.</w:t>
            </w:r>
          </w:p>
        </w:tc>
      </w:tr>
      <w:tr>
        <w:trPr>
          <w:trHeight w:val="414"/>
        </w:trPr>
        <w:tc>
          <w:tcPr>
            <w:tcW w:w="450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“Present”</w:t>
            </w:r>
          </w:p>
        </w:tc>
        <w:tc>
          <w:tcPr>
            <w:tcW w:w="6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shall mean, in respect of any Person, such Person’s presence at a general meeting</w:t>
            </w:r>
          </w:p>
        </w:tc>
      </w:tr>
      <w:tr>
        <w:trPr>
          <w:trHeight w:val="216"/>
        </w:trPr>
        <w:tc>
          <w:tcPr>
            <w:tcW w:w="4500" w:type="dxa"/>
            <w:vAlign w:val="bottom"/>
          </w:tcPr>
          <w:p>
            <w:pPr>
              <w:spacing w:after="0"/>
              <w:rPr>
                <w:sz w:val="18"/>
                <w:szCs w:val="18"/>
                <w:color w:val="auto"/>
              </w:rPr>
            </w:pPr>
          </w:p>
        </w:tc>
        <w:tc>
          <w:tcPr>
            <w:tcW w:w="6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of members, which may be satisfied by means of such Person or, if a corporation</w:t>
            </w:r>
          </w:p>
        </w:tc>
      </w:tr>
      <w:tr>
        <w:trPr>
          <w:trHeight w:val="216"/>
        </w:trPr>
        <w:tc>
          <w:tcPr>
            <w:tcW w:w="4500" w:type="dxa"/>
            <w:vAlign w:val="bottom"/>
          </w:tcPr>
          <w:p>
            <w:pPr>
              <w:spacing w:after="0"/>
              <w:rPr>
                <w:sz w:val="18"/>
                <w:szCs w:val="18"/>
                <w:color w:val="auto"/>
              </w:rPr>
            </w:pPr>
          </w:p>
        </w:tc>
        <w:tc>
          <w:tcPr>
            <w:tcW w:w="6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or other non-natural Person, its duly authorised representative (or, in the case of</w:t>
            </w:r>
          </w:p>
        </w:tc>
      </w:tr>
      <w:tr>
        <w:trPr>
          <w:trHeight w:val="216"/>
        </w:trPr>
        <w:tc>
          <w:tcPr>
            <w:tcW w:w="4500" w:type="dxa"/>
            <w:vAlign w:val="bottom"/>
          </w:tcPr>
          <w:p>
            <w:pPr>
              <w:spacing w:after="0"/>
              <w:rPr>
                <w:sz w:val="18"/>
                <w:szCs w:val="18"/>
                <w:color w:val="auto"/>
              </w:rPr>
            </w:pPr>
          </w:p>
        </w:tc>
        <w:tc>
          <w:tcPr>
            <w:tcW w:w="6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any member, a proxy which has been validly appointed by such member in</w:t>
            </w:r>
          </w:p>
        </w:tc>
      </w:tr>
      <w:tr>
        <w:trPr>
          <w:trHeight w:val="216"/>
        </w:trPr>
        <w:tc>
          <w:tcPr>
            <w:tcW w:w="4500" w:type="dxa"/>
            <w:vAlign w:val="bottom"/>
          </w:tcPr>
          <w:p>
            <w:pPr>
              <w:spacing w:after="0"/>
              <w:rPr>
                <w:sz w:val="18"/>
                <w:szCs w:val="18"/>
                <w:color w:val="auto"/>
              </w:rPr>
            </w:pPr>
          </w:p>
        </w:tc>
        <w:tc>
          <w:tcPr>
            <w:tcW w:w="6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accordance with these Articles), being: (a) physically present at the meeting; or (b)</w:t>
            </w:r>
          </w:p>
        </w:tc>
      </w:tr>
      <w:tr>
        <w:trPr>
          <w:trHeight w:val="216"/>
        </w:trPr>
        <w:tc>
          <w:tcPr>
            <w:tcW w:w="4500" w:type="dxa"/>
            <w:vAlign w:val="bottom"/>
          </w:tcPr>
          <w:p>
            <w:pPr>
              <w:spacing w:after="0"/>
              <w:rPr>
                <w:sz w:val="18"/>
                <w:szCs w:val="18"/>
                <w:color w:val="auto"/>
              </w:rPr>
            </w:pPr>
          </w:p>
        </w:tc>
        <w:tc>
          <w:tcPr>
            <w:tcW w:w="6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in the case of any meeting at which Communication Facilities are permitted in</w:t>
            </w:r>
          </w:p>
        </w:tc>
      </w:tr>
      <w:tr>
        <w:trPr>
          <w:trHeight w:val="216"/>
        </w:trPr>
        <w:tc>
          <w:tcPr>
            <w:tcW w:w="4500" w:type="dxa"/>
            <w:vAlign w:val="bottom"/>
          </w:tcPr>
          <w:p>
            <w:pPr>
              <w:spacing w:after="0"/>
              <w:rPr>
                <w:sz w:val="18"/>
                <w:szCs w:val="18"/>
                <w:color w:val="auto"/>
              </w:rPr>
            </w:pPr>
          </w:p>
        </w:tc>
        <w:tc>
          <w:tcPr>
            <w:tcW w:w="6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accordance with these Articles, including any Virtual Meeting, connected by</w:t>
            </w:r>
          </w:p>
        </w:tc>
      </w:tr>
      <w:tr>
        <w:trPr>
          <w:trHeight w:val="234"/>
        </w:trPr>
        <w:tc>
          <w:tcPr>
            <w:tcW w:w="4500" w:type="dxa"/>
            <w:vAlign w:val="bottom"/>
          </w:tcPr>
          <w:p>
            <w:pPr>
              <w:spacing w:after="0"/>
              <w:rPr>
                <w:sz w:val="20"/>
                <w:szCs w:val="20"/>
                <w:color w:val="auto"/>
              </w:rPr>
            </w:pPr>
          </w:p>
        </w:tc>
        <w:tc>
          <w:tcPr>
            <w:tcW w:w="6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means of the use of such Communication Facilities.</w:t>
            </w:r>
          </w:p>
        </w:tc>
      </w:tr>
      <w:tr>
        <w:trPr>
          <w:trHeight w:val="414"/>
        </w:trPr>
        <w:tc>
          <w:tcPr>
            <w:tcW w:w="450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“Register”</w:t>
            </w:r>
          </w:p>
        </w:tc>
        <w:tc>
          <w:tcPr>
            <w:tcW w:w="6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the principal register and where applicable, any branch register of Members of the</w:t>
            </w:r>
          </w:p>
        </w:tc>
      </w:tr>
      <w:tr>
        <w:trPr>
          <w:trHeight w:val="216"/>
        </w:trPr>
        <w:tc>
          <w:tcPr>
            <w:tcW w:w="4500" w:type="dxa"/>
            <w:vAlign w:val="bottom"/>
          </w:tcPr>
          <w:p>
            <w:pPr>
              <w:spacing w:after="0"/>
              <w:rPr>
                <w:sz w:val="18"/>
                <w:szCs w:val="18"/>
                <w:color w:val="auto"/>
              </w:rPr>
            </w:pPr>
          </w:p>
        </w:tc>
        <w:tc>
          <w:tcPr>
            <w:tcW w:w="6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Company to be maintained at such place within or outside the Cayman Islands as</w:t>
            </w:r>
          </w:p>
        </w:tc>
      </w:tr>
      <w:tr>
        <w:trPr>
          <w:trHeight w:val="234"/>
        </w:trPr>
        <w:tc>
          <w:tcPr>
            <w:tcW w:w="4500" w:type="dxa"/>
            <w:vAlign w:val="bottom"/>
          </w:tcPr>
          <w:p>
            <w:pPr>
              <w:spacing w:after="0"/>
              <w:rPr>
                <w:sz w:val="20"/>
                <w:szCs w:val="20"/>
                <w:color w:val="auto"/>
              </w:rPr>
            </w:pPr>
          </w:p>
        </w:tc>
        <w:tc>
          <w:tcPr>
            <w:tcW w:w="68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the Board shall determine from time to time.</w:t>
            </w:r>
          </w:p>
        </w:tc>
      </w:tr>
      <w:tr>
        <w:trPr>
          <w:trHeight w:val="675"/>
        </w:trPr>
        <w:tc>
          <w:tcPr>
            <w:tcW w:w="450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4"/>
                <w:szCs w:val="24"/>
                <w:color w:val="auto"/>
              </w:rPr>
            </w:pPr>
          </w:p>
        </w:tc>
      </w:tr>
    </w:tbl>
    <w:p>
      <w:pPr>
        <w:sectPr>
          <w:pgSz w:w="11900" w:h="16838" w:orient="portrait"/>
          <w:cols w:equalWidth="0" w:num="1">
            <w:col w:w="11300"/>
          </w:cols>
          <w:pgMar w:left="320" w:top="927" w:right="27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2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“Registration Office”</w:t>
            </w: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in respect of any class of share capital such place as the Board may from time to</w:t>
            </w:r>
          </w:p>
        </w:tc>
      </w:tr>
      <w:tr>
        <w:trPr>
          <w:trHeight w:val="216"/>
        </w:trPr>
        <w:tc>
          <w:tcPr>
            <w:tcW w:w="4120" w:type="dxa"/>
            <w:vAlign w:val="bottom"/>
          </w:tcPr>
          <w:p>
            <w:pPr>
              <w:spacing w:after="0"/>
              <w:rPr>
                <w:sz w:val="18"/>
                <w:szCs w:val="18"/>
                <w:color w:val="auto"/>
              </w:rPr>
            </w:pP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time determine to keep a branch register of Members in respect of that class of</w:t>
            </w:r>
          </w:p>
        </w:tc>
      </w:tr>
      <w:tr>
        <w:trPr>
          <w:trHeight w:val="216"/>
        </w:trPr>
        <w:tc>
          <w:tcPr>
            <w:tcW w:w="4120" w:type="dxa"/>
            <w:vAlign w:val="bottom"/>
          </w:tcPr>
          <w:p>
            <w:pPr>
              <w:spacing w:after="0"/>
              <w:rPr>
                <w:sz w:val="18"/>
                <w:szCs w:val="18"/>
                <w:color w:val="auto"/>
              </w:rPr>
            </w:pP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share capital and where (except in cases where the Board otherwise directs) the</w:t>
            </w:r>
          </w:p>
        </w:tc>
      </w:tr>
      <w:tr>
        <w:trPr>
          <w:trHeight w:val="216"/>
        </w:trPr>
        <w:tc>
          <w:tcPr>
            <w:tcW w:w="4120" w:type="dxa"/>
            <w:vAlign w:val="bottom"/>
          </w:tcPr>
          <w:p>
            <w:pPr>
              <w:spacing w:after="0"/>
              <w:rPr>
                <w:sz w:val="18"/>
                <w:szCs w:val="18"/>
                <w:color w:val="auto"/>
              </w:rPr>
            </w:pP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transfers or other documents of title for such class of share capital are to be lodged</w:t>
            </w:r>
          </w:p>
        </w:tc>
      </w:tr>
      <w:tr>
        <w:trPr>
          <w:trHeight w:val="234"/>
        </w:trPr>
        <w:tc>
          <w:tcPr>
            <w:tcW w:w="4120" w:type="dxa"/>
            <w:vAlign w:val="bottom"/>
          </w:tcPr>
          <w:p>
            <w:pPr>
              <w:spacing w:after="0"/>
              <w:rPr>
                <w:sz w:val="20"/>
                <w:szCs w:val="20"/>
                <w:color w:val="auto"/>
              </w:rPr>
            </w:pP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for registration and are to be registered.</w:t>
            </w:r>
          </w:p>
        </w:tc>
      </w:tr>
      <w:tr>
        <w:trPr>
          <w:trHeight w:val="432"/>
        </w:trPr>
        <w:tc>
          <w:tcPr>
            <w:tcW w:w="412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“SEC”</w:t>
            </w: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the United States Securities and Exchange Commission.</w:t>
            </w:r>
          </w:p>
        </w:tc>
      </w:tr>
      <w:tr>
        <w:trPr>
          <w:trHeight w:val="414"/>
        </w:trPr>
        <w:tc>
          <w:tcPr>
            <w:tcW w:w="412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“Securities Act”</w:t>
            </w: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similar federal statute and the rules and regulations of the SEC thereunder as the</w:t>
            </w:r>
          </w:p>
        </w:tc>
      </w:tr>
      <w:tr>
        <w:trPr>
          <w:trHeight w:val="234"/>
        </w:trPr>
        <w:tc>
          <w:tcPr>
            <w:tcW w:w="4120" w:type="dxa"/>
            <w:vAlign w:val="bottom"/>
          </w:tcPr>
          <w:p>
            <w:pPr>
              <w:spacing w:after="0"/>
              <w:rPr>
                <w:sz w:val="20"/>
                <w:szCs w:val="20"/>
                <w:color w:val="auto"/>
              </w:rPr>
            </w:pP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same shall be in effect from time to time.</w:t>
            </w:r>
          </w:p>
        </w:tc>
      </w:tr>
      <w:tr>
        <w:trPr>
          <w:trHeight w:val="414"/>
        </w:trPr>
        <w:tc>
          <w:tcPr>
            <w:tcW w:w="412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“Seal”</w:t>
            </w: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common seal or any one or more duplicate seals of the Company (including a</w:t>
            </w:r>
          </w:p>
        </w:tc>
      </w:tr>
      <w:tr>
        <w:trPr>
          <w:trHeight w:val="216"/>
        </w:trPr>
        <w:tc>
          <w:tcPr>
            <w:tcW w:w="4120" w:type="dxa"/>
            <w:vAlign w:val="bottom"/>
          </w:tcPr>
          <w:p>
            <w:pPr>
              <w:spacing w:after="0"/>
              <w:rPr>
                <w:sz w:val="18"/>
                <w:szCs w:val="18"/>
                <w:color w:val="auto"/>
              </w:rPr>
            </w:pP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securities seal) for use in the Cayman Islands or in any place outside the Cayman</w:t>
            </w:r>
          </w:p>
        </w:tc>
      </w:tr>
      <w:tr>
        <w:trPr>
          <w:trHeight w:val="234"/>
        </w:trPr>
        <w:tc>
          <w:tcPr>
            <w:tcW w:w="4120" w:type="dxa"/>
            <w:vAlign w:val="bottom"/>
          </w:tcPr>
          <w:p>
            <w:pPr>
              <w:spacing w:after="0"/>
              <w:rPr>
                <w:sz w:val="20"/>
                <w:szCs w:val="20"/>
                <w:color w:val="auto"/>
              </w:rPr>
            </w:pP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Islands.</w:t>
            </w:r>
          </w:p>
        </w:tc>
      </w:tr>
      <w:tr>
        <w:trPr>
          <w:trHeight w:val="414"/>
        </w:trPr>
        <w:tc>
          <w:tcPr>
            <w:tcW w:w="412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“Secretary”</w:t>
            </w: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any person, firm or corporation appointed by the Board to perform any of the</w:t>
            </w:r>
          </w:p>
        </w:tc>
      </w:tr>
      <w:tr>
        <w:trPr>
          <w:trHeight w:val="216"/>
        </w:trPr>
        <w:tc>
          <w:tcPr>
            <w:tcW w:w="4120" w:type="dxa"/>
            <w:vAlign w:val="bottom"/>
          </w:tcPr>
          <w:p>
            <w:pPr>
              <w:spacing w:after="0"/>
              <w:rPr>
                <w:sz w:val="18"/>
                <w:szCs w:val="18"/>
                <w:color w:val="auto"/>
              </w:rPr>
            </w:pP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duties of secretary of the Company and includes any assistant, deputy, temporary</w:t>
            </w:r>
          </w:p>
        </w:tc>
      </w:tr>
      <w:tr>
        <w:trPr>
          <w:trHeight w:val="234"/>
        </w:trPr>
        <w:tc>
          <w:tcPr>
            <w:tcW w:w="4120" w:type="dxa"/>
            <w:vAlign w:val="bottom"/>
          </w:tcPr>
          <w:p>
            <w:pPr>
              <w:spacing w:after="0"/>
              <w:rPr>
                <w:sz w:val="20"/>
                <w:szCs w:val="20"/>
                <w:color w:val="auto"/>
              </w:rPr>
            </w:pP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or acting secretary.</w:t>
            </w:r>
          </w:p>
        </w:tc>
      </w:tr>
      <w:tr>
        <w:trPr>
          <w:trHeight w:val="432"/>
        </w:trPr>
        <w:tc>
          <w:tcPr>
            <w:tcW w:w="412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ordinary shares of par value US$0.001 each.</w:t>
            </w:r>
          </w:p>
        </w:tc>
      </w:tr>
      <w:tr>
        <w:trPr>
          <w:trHeight w:val="414"/>
        </w:trPr>
        <w:tc>
          <w:tcPr>
            <w:tcW w:w="412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“special resolution”</w:t>
            </w: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shall have the same meaning as ascribed thereto in the Act and for the purpose of</w:t>
            </w:r>
          </w:p>
        </w:tc>
      </w:tr>
      <w:tr>
        <w:trPr>
          <w:trHeight w:val="216"/>
        </w:trPr>
        <w:tc>
          <w:tcPr>
            <w:tcW w:w="4120" w:type="dxa"/>
            <w:vAlign w:val="bottom"/>
          </w:tcPr>
          <w:p>
            <w:pPr>
              <w:spacing w:after="0"/>
              <w:rPr>
                <w:sz w:val="18"/>
                <w:szCs w:val="18"/>
                <w:color w:val="auto"/>
              </w:rPr>
            </w:pP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these Articles, the requisite majority shall be not less than three-fourths of the</w:t>
            </w:r>
          </w:p>
        </w:tc>
      </w:tr>
      <w:tr>
        <w:trPr>
          <w:trHeight w:val="216"/>
        </w:trPr>
        <w:tc>
          <w:tcPr>
            <w:tcW w:w="4120" w:type="dxa"/>
            <w:vAlign w:val="bottom"/>
          </w:tcPr>
          <w:p>
            <w:pPr>
              <w:spacing w:after="0"/>
              <w:rPr>
                <w:sz w:val="18"/>
                <w:szCs w:val="18"/>
                <w:color w:val="auto"/>
              </w:rPr>
            </w:pP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votes of such Members as, being entitled to do so, vote in person or, where proxies</w:t>
            </w:r>
          </w:p>
        </w:tc>
      </w:tr>
      <w:tr>
        <w:trPr>
          <w:trHeight w:val="216"/>
        </w:trPr>
        <w:tc>
          <w:tcPr>
            <w:tcW w:w="4120" w:type="dxa"/>
            <w:vAlign w:val="bottom"/>
          </w:tcPr>
          <w:p>
            <w:pPr>
              <w:spacing w:after="0"/>
              <w:rPr>
                <w:sz w:val="18"/>
                <w:szCs w:val="18"/>
                <w:color w:val="auto"/>
              </w:rPr>
            </w:pP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are allowed, by proxy or, in the case of corporations, by their duly authorized</w:t>
            </w:r>
          </w:p>
        </w:tc>
      </w:tr>
      <w:tr>
        <w:trPr>
          <w:trHeight w:val="216"/>
        </w:trPr>
        <w:tc>
          <w:tcPr>
            <w:tcW w:w="4120" w:type="dxa"/>
            <w:vAlign w:val="bottom"/>
          </w:tcPr>
          <w:p>
            <w:pPr>
              <w:spacing w:after="0"/>
              <w:rPr>
                <w:sz w:val="18"/>
                <w:szCs w:val="18"/>
                <w:color w:val="auto"/>
              </w:rPr>
            </w:pP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representatives, at a general meeting of which notice specifying the intention to</w:t>
            </w:r>
          </w:p>
        </w:tc>
      </w:tr>
      <w:tr>
        <w:trPr>
          <w:trHeight w:val="216"/>
        </w:trPr>
        <w:tc>
          <w:tcPr>
            <w:tcW w:w="4120" w:type="dxa"/>
            <w:vAlign w:val="bottom"/>
          </w:tcPr>
          <w:p>
            <w:pPr>
              <w:spacing w:after="0"/>
              <w:rPr>
                <w:sz w:val="18"/>
                <w:szCs w:val="18"/>
                <w:color w:val="auto"/>
              </w:rPr>
            </w:pP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propose the resolution as a special resolution has been duly given. In computing</w:t>
            </w:r>
          </w:p>
        </w:tc>
      </w:tr>
      <w:tr>
        <w:trPr>
          <w:trHeight w:val="216"/>
        </w:trPr>
        <w:tc>
          <w:tcPr>
            <w:tcW w:w="4120" w:type="dxa"/>
            <w:vAlign w:val="bottom"/>
          </w:tcPr>
          <w:p>
            <w:pPr>
              <w:spacing w:after="0"/>
              <w:rPr>
                <w:sz w:val="18"/>
                <w:szCs w:val="18"/>
                <w:color w:val="auto"/>
              </w:rPr>
            </w:pP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the majority on a poll regard shall be had to the number of votes to which each</w:t>
            </w:r>
          </w:p>
        </w:tc>
      </w:tr>
      <w:tr>
        <w:trPr>
          <w:trHeight w:val="234"/>
        </w:trPr>
        <w:tc>
          <w:tcPr>
            <w:tcW w:w="4120" w:type="dxa"/>
            <w:vAlign w:val="bottom"/>
          </w:tcPr>
          <w:p>
            <w:pPr>
              <w:spacing w:after="0"/>
              <w:rPr>
                <w:sz w:val="20"/>
                <w:szCs w:val="20"/>
                <w:color w:val="auto"/>
              </w:rPr>
            </w:pP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Member is entitled by the Articles.</w:t>
            </w:r>
          </w:p>
        </w:tc>
      </w:tr>
      <w:tr>
        <w:trPr>
          <w:trHeight w:val="414"/>
        </w:trPr>
        <w:tc>
          <w:tcPr>
            <w:tcW w:w="412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“Statutes”</w:t>
            </w: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the Act and every other law of the Legislature of the Cayman Islands for the time</w:t>
            </w:r>
          </w:p>
        </w:tc>
      </w:tr>
      <w:tr>
        <w:trPr>
          <w:trHeight w:val="216"/>
        </w:trPr>
        <w:tc>
          <w:tcPr>
            <w:tcW w:w="4120" w:type="dxa"/>
            <w:vAlign w:val="bottom"/>
          </w:tcPr>
          <w:p>
            <w:pPr>
              <w:spacing w:after="0"/>
              <w:rPr>
                <w:sz w:val="18"/>
                <w:szCs w:val="18"/>
                <w:color w:val="auto"/>
              </w:rPr>
            </w:pP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being in force applying to or affecting the Company, its Memorandum of</w:t>
            </w:r>
          </w:p>
        </w:tc>
      </w:tr>
      <w:tr>
        <w:trPr>
          <w:trHeight w:val="234"/>
        </w:trPr>
        <w:tc>
          <w:tcPr>
            <w:tcW w:w="4120" w:type="dxa"/>
            <w:vAlign w:val="bottom"/>
          </w:tcPr>
          <w:p>
            <w:pPr>
              <w:spacing w:after="0"/>
              <w:rPr>
                <w:sz w:val="20"/>
                <w:szCs w:val="20"/>
                <w:color w:val="auto"/>
              </w:rPr>
            </w:pP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Association and/or these Articles.</w:t>
            </w:r>
          </w:p>
        </w:tc>
      </w:tr>
      <w:tr>
        <w:trPr>
          <w:trHeight w:val="414"/>
        </w:trPr>
        <w:tc>
          <w:tcPr>
            <w:tcW w:w="412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“Virtual Meeting”</w:t>
            </w: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shall mean any general meeting of the members at which the members and any</w:t>
            </w:r>
          </w:p>
        </w:tc>
      </w:tr>
      <w:tr>
        <w:trPr>
          <w:trHeight w:val="216"/>
        </w:trPr>
        <w:tc>
          <w:tcPr>
            <w:tcW w:w="4120" w:type="dxa"/>
            <w:vAlign w:val="bottom"/>
          </w:tcPr>
          <w:p>
            <w:pPr>
              <w:spacing w:after="0"/>
              <w:rPr>
                <w:sz w:val="18"/>
                <w:szCs w:val="18"/>
                <w:color w:val="auto"/>
              </w:rPr>
            </w:pP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other permitted participants of such meeting (including, without limitation, the</w:t>
            </w:r>
          </w:p>
        </w:tc>
      </w:tr>
      <w:tr>
        <w:trPr>
          <w:trHeight w:val="216"/>
        </w:trPr>
        <w:tc>
          <w:tcPr>
            <w:tcW w:w="4120" w:type="dxa"/>
            <w:vAlign w:val="bottom"/>
          </w:tcPr>
          <w:p>
            <w:pPr>
              <w:spacing w:after="0"/>
              <w:rPr>
                <w:sz w:val="18"/>
                <w:szCs w:val="18"/>
                <w:color w:val="auto"/>
              </w:rPr>
            </w:pP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Chairman of such meeting and any Directors) are permitted to attend and</w:t>
            </w:r>
          </w:p>
        </w:tc>
      </w:tr>
      <w:tr>
        <w:trPr>
          <w:trHeight w:val="234"/>
        </w:trPr>
        <w:tc>
          <w:tcPr>
            <w:tcW w:w="4120" w:type="dxa"/>
            <w:vAlign w:val="bottom"/>
          </w:tcPr>
          <w:p>
            <w:pPr>
              <w:spacing w:after="0"/>
              <w:rPr>
                <w:sz w:val="20"/>
                <w:szCs w:val="20"/>
                <w:color w:val="auto"/>
              </w:rPr>
            </w:pP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participate solely by means of the Communication Facilities.</w:t>
            </w:r>
          </w:p>
        </w:tc>
      </w:tr>
      <w:tr>
        <w:trPr>
          <w:trHeight w:val="432"/>
        </w:trPr>
        <w:tc>
          <w:tcPr>
            <w:tcW w:w="412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71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a calendar year.</w:t>
            </w:r>
          </w:p>
        </w:tc>
      </w:tr>
      <w:tr>
        <w:trPr>
          <w:trHeight w:val="648"/>
        </w:trPr>
        <w:tc>
          <w:tcPr>
            <w:tcW w:w="412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4"/>
                <w:szCs w:val="24"/>
                <w:color w:val="auto"/>
              </w:rPr>
            </w:pPr>
          </w:p>
        </w:tc>
      </w:tr>
    </w:tbl>
    <w:p>
      <w:pPr>
        <w:sectPr>
          <w:pgSz w:w="11900" w:h="16838" w:orient="portrait"/>
          <w:cols w:equalWidth="0" w:num="1">
            <w:col w:w="11300"/>
          </w:cols>
          <w:pgMar w:left="320" w:top="927" w:right="279" w:bottom="1440" w:gutter="0" w:footer="0" w:header="0"/>
        </w:sectPr>
      </w:pPr>
    </w:p>
    <w:bookmarkStart w:id="15" w:name="page16"/>
    <w:bookmarkEnd w:id="15"/>
    <w:p>
      <w:pPr>
        <w:ind w:left="644" w:hanging="644"/>
        <w:spacing w:after="0"/>
        <w:tabs>
          <w:tab w:leader="none" w:pos="644"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these Articles, unless there be something within the subject or context inconsistent with such construction:</w:t>
      </w:r>
    </w:p>
    <w:p>
      <w:pPr>
        <w:spacing w:after="0" w:line="225" w:lineRule="exact"/>
        <w:rPr>
          <w:rFonts w:ascii="Times New Roman" w:cs="Times New Roman" w:eastAsia="Times New Roman" w:hAnsi="Times New Roman"/>
          <w:sz w:val="18"/>
          <w:szCs w:val="18"/>
          <w:color w:val="231F20"/>
        </w:rPr>
      </w:pPr>
    </w:p>
    <w:p>
      <w:pPr>
        <w:ind w:left="1304" w:hanging="656"/>
        <w:spacing w:after="0"/>
        <w:tabs>
          <w:tab w:leader="none" w:pos="1304" w:val="left"/>
        </w:tabs>
        <w:numPr>
          <w:ilvl w:val="1"/>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words importing the singular include the plural and vice versa;</w:t>
      </w:r>
    </w:p>
    <w:p>
      <w:pPr>
        <w:spacing w:after="0" w:line="225" w:lineRule="exact"/>
        <w:rPr>
          <w:rFonts w:ascii="Times New Roman" w:cs="Times New Roman" w:eastAsia="Times New Roman" w:hAnsi="Times New Roman"/>
          <w:sz w:val="18"/>
          <w:szCs w:val="18"/>
          <w:color w:val="231F20"/>
        </w:rPr>
      </w:pPr>
    </w:p>
    <w:p>
      <w:pPr>
        <w:ind w:left="1304" w:hanging="656"/>
        <w:spacing w:after="0"/>
        <w:tabs>
          <w:tab w:leader="none" w:pos="1304" w:val="left"/>
        </w:tabs>
        <w:numPr>
          <w:ilvl w:val="1"/>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words importing a gender include both gender and the neuter;</w:t>
      </w:r>
    </w:p>
    <w:p>
      <w:pPr>
        <w:spacing w:after="0" w:line="225" w:lineRule="exact"/>
        <w:rPr>
          <w:rFonts w:ascii="Times New Roman" w:cs="Times New Roman" w:eastAsia="Times New Roman" w:hAnsi="Times New Roman"/>
          <w:sz w:val="18"/>
          <w:szCs w:val="18"/>
          <w:color w:val="231F20"/>
        </w:rPr>
      </w:pPr>
    </w:p>
    <w:p>
      <w:pPr>
        <w:ind w:left="1304" w:hanging="656"/>
        <w:spacing w:after="0"/>
        <w:tabs>
          <w:tab w:leader="none" w:pos="1304" w:val="left"/>
        </w:tabs>
        <w:numPr>
          <w:ilvl w:val="1"/>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words importing persons include companies, associations and bodies of persons whether corporate or not;</w:t>
      </w:r>
    </w:p>
    <w:p>
      <w:pPr>
        <w:spacing w:after="0" w:line="225" w:lineRule="exact"/>
        <w:rPr>
          <w:rFonts w:ascii="Times New Roman" w:cs="Times New Roman" w:eastAsia="Times New Roman" w:hAnsi="Times New Roman"/>
          <w:sz w:val="18"/>
          <w:szCs w:val="18"/>
          <w:color w:val="231F20"/>
        </w:rPr>
      </w:pPr>
    </w:p>
    <w:p>
      <w:pPr>
        <w:ind w:left="1304" w:hanging="656"/>
        <w:spacing w:after="0"/>
        <w:tabs>
          <w:tab w:leader="none" w:pos="1304" w:val="left"/>
        </w:tabs>
        <w:numPr>
          <w:ilvl w:val="1"/>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words:</w:t>
      </w:r>
    </w:p>
    <w:p>
      <w:pPr>
        <w:spacing w:after="0" w:line="225" w:lineRule="exact"/>
        <w:rPr>
          <w:rFonts w:ascii="Times New Roman" w:cs="Times New Roman" w:eastAsia="Times New Roman" w:hAnsi="Times New Roman"/>
          <w:sz w:val="18"/>
          <w:szCs w:val="18"/>
          <w:color w:val="231F20"/>
        </w:rPr>
      </w:pPr>
    </w:p>
    <w:p>
      <w:pPr>
        <w:ind w:left="1944" w:hanging="648"/>
        <w:spacing w:after="0"/>
        <w:tabs>
          <w:tab w:leader="none" w:pos="1944" w:val="left"/>
        </w:tabs>
        <w:numPr>
          <w:ilvl w:val="2"/>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“may” shall be construed as permissive;</w:t>
      </w:r>
    </w:p>
    <w:p>
      <w:pPr>
        <w:spacing w:after="0" w:line="225" w:lineRule="exact"/>
        <w:rPr>
          <w:rFonts w:ascii="Times New Roman" w:cs="Times New Roman" w:eastAsia="Times New Roman" w:hAnsi="Times New Roman"/>
          <w:sz w:val="18"/>
          <w:szCs w:val="18"/>
          <w:color w:val="231F20"/>
        </w:rPr>
      </w:pPr>
    </w:p>
    <w:p>
      <w:pPr>
        <w:ind w:left="1944" w:hanging="648"/>
        <w:spacing w:after="0"/>
        <w:tabs>
          <w:tab w:leader="none" w:pos="1944" w:val="left"/>
        </w:tabs>
        <w:numPr>
          <w:ilvl w:val="2"/>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“shall” or “will” shall be construed as imperative;</w:t>
      </w:r>
    </w:p>
    <w:p>
      <w:pPr>
        <w:spacing w:after="0" w:line="225" w:lineRule="exact"/>
        <w:rPr>
          <w:rFonts w:ascii="Times New Roman" w:cs="Times New Roman" w:eastAsia="Times New Roman" w:hAnsi="Times New Roman"/>
          <w:sz w:val="18"/>
          <w:szCs w:val="18"/>
          <w:color w:val="231F20"/>
        </w:rPr>
      </w:pPr>
    </w:p>
    <w:p>
      <w:pPr>
        <w:jc w:val="both"/>
        <w:ind w:left="1304" w:hanging="656"/>
        <w:spacing w:after="0" w:line="261" w:lineRule="auto"/>
        <w:tabs>
          <w:tab w:leader="none" w:pos="1304" w:val="left"/>
        </w:tabs>
        <w:numPr>
          <w:ilvl w:val="1"/>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expressions referring to writing shall, unless the contrary intention appears, be construed as including printing, lithography, photography and other modes of representing words or figures in a visible form, and including where the representation takes the form of electronic display, provided that both the mode of service of the relevant document or notice and the Member’s election comply with all applicable Statutes, rules and regulations;</w:t>
      </w:r>
    </w:p>
    <w:p>
      <w:pPr>
        <w:spacing w:after="0" w:line="179" w:lineRule="exact"/>
        <w:rPr>
          <w:rFonts w:ascii="Times New Roman" w:cs="Times New Roman" w:eastAsia="Times New Roman" w:hAnsi="Times New Roman"/>
          <w:sz w:val="18"/>
          <w:szCs w:val="18"/>
          <w:color w:val="231F20"/>
        </w:rPr>
      </w:pPr>
    </w:p>
    <w:p>
      <w:pPr>
        <w:ind w:left="1304" w:hanging="656"/>
        <w:spacing w:after="0" w:line="282" w:lineRule="auto"/>
        <w:tabs>
          <w:tab w:leader="none" w:pos="1304" w:val="left"/>
        </w:tabs>
        <w:numPr>
          <w:ilvl w:val="1"/>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references to any law, ordinance, statute or statutory provision shall be interpreted as relating to any statutory modification or re-enactment thereof for the time being in force;</w:t>
      </w:r>
    </w:p>
    <w:p>
      <w:pPr>
        <w:spacing w:after="0" w:line="161" w:lineRule="exact"/>
        <w:rPr>
          <w:rFonts w:ascii="Times New Roman" w:cs="Times New Roman" w:eastAsia="Times New Roman" w:hAnsi="Times New Roman"/>
          <w:sz w:val="18"/>
          <w:szCs w:val="18"/>
          <w:color w:val="231F20"/>
        </w:rPr>
      </w:pPr>
    </w:p>
    <w:p>
      <w:pPr>
        <w:ind w:left="1304" w:hanging="656"/>
        <w:spacing w:after="0" w:line="282" w:lineRule="auto"/>
        <w:tabs>
          <w:tab w:leader="none" w:pos="1304" w:val="left"/>
        </w:tabs>
        <w:numPr>
          <w:ilvl w:val="1"/>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save as aforesaid words and expressions defined in the Statutes shall bear the same meanings in these Articles if not inconsistent with the subject in the context;</w:t>
      </w:r>
    </w:p>
    <w:p>
      <w:pPr>
        <w:spacing w:after="0" w:line="161" w:lineRule="exact"/>
        <w:rPr>
          <w:rFonts w:ascii="Times New Roman" w:cs="Times New Roman" w:eastAsia="Times New Roman" w:hAnsi="Times New Roman"/>
          <w:sz w:val="18"/>
          <w:szCs w:val="18"/>
          <w:color w:val="231F20"/>
        </w:rPr>
      </w:pPr>
    </w:p>
    <w:p>
      <w:pPr>
        <w:jc w:val="both"/>
        <w:ind w:left="1304" w:hanging="656"/>
        <w:spacing w:after="0" w:line="261" w:lineRule="auto"/>
        <w:tabs>
          <w:tab w:leader="none" w:pos="1304" w:val="left"/>
        </w:tabs>
        <w:numPr>
          <w:ilvl w:val="1"/>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references to a document being executed include references to it being executed under hand or under seal or by electronic signature or by any other method and references to a notice or document include a notice or document recorded or stored in any digital, electronic, electrical, magnetic or other retrievable form or medium and information in visible form whether having physical substance or not;</w:t>
      </w:r>
    </w:p>
    <w:p>
      <w:pPr>
        <w:spacing w:after="0" w:line="179" w:lineRule="exact"/>
        <w:rPr>
          <w:rFonts w:ascii="Times New Roman" w:cs="Times New Roman" w:eastAsia="Times New Roman" w:hAnsi="Times New Roman"/>
          <w:sz w:val="18"/>
          <w:szCs w:val="18"/>
          <w:color w:val="231F20"/>
        </w:rPr>
      </w:pPr>
    </w:p>
    <w:p>
      <w:pPr>
        <w:ind w:left="1304" w:hanging="656"/>
        <w:spacing w:after="0" w:line="282" w:lineRule="auto"/>
        <w:tabs>
          <w:tab w:leader="none" w:pos="1304" w:val="left"/>
        </w:tabs>
        <w:numPr>
          <w:ilvl w:val="1"/>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Section 8 of the Electronic Transaction Act (As Revised) of the Cayman Islands, as amended from time to time, shall not apply to these Articles to the extent it imposes obligations or requirements in addition to those set out in these Articles; and</w:t>
      </w:r>
    </w:p>
    <w:p>
      <w:pPr>
        <w:spacing w:after="0" w:line="161" w:lineRule="exact"/>
        <w:rPr>
          <w:rFonts w:ascii="Times New Roman" w:cs="Times New Roman" w:eastAsia="Times New Roman" w:hAnsi="Times New Roman"/>
          <w:sz w:val="18"/>
          <w:szCs w:val="18"/>
          <w:color w:val="231F20"/>
        </w:rPr>
      </w:pPr>
    </w:p>
    <w:p>
      <w:pPr>
        <w:ind w:left="1304" w:hanging="656"/>
        <w:spacing w:after="0" w:line="282" w:lineRule="auto"/>
        <w:tabs>
          <w:tab w:leader="none" w:pos="1304" w:val="left"/>
        </w:tabs>
        <w:numPr>
          <w:ilvl w:val="1"/>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references to “in the ordinary course of business” and comparable expressions mean the ordinary and usual course of business of the relevant party, consistent in all material respects (including nature and scope) with the prior practice of such party.</w:t>
      </w:r>
    </w:p>
    <w:p>
      <w:pPr>
        <w:spacing w:after="0" w:line="37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31F20"/>
        </w:rPr>
        <w:t>SHARE CAPITAL</w:t>
      </w:r>
    </w:p>
    <w:p>
      <w:pPr>
        <w:spacing w:after="0" w:line="229" w:lineRule="exact"/>
        <w:rPr>
          <w:sz w:val="20"/>
          <w:szCs w:val="20"/>
          <w:color w:val="auto"/>
        </w:rPr>
      </w:pPr>
    </w:p>
    <w:p>
      <w:pPr>
        <w:ind w:left="1300" w:hanging="1292"/>
        <w:spacing w:after="0" w:line="282" w:lineRule="auto"/>
        <w:tabs>
          <w:tab w:leader="none" w:pos="652"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(1)The share capital of the Company at the date on which these Articles come into effect shall be divided into ordinary shares of a par value of US$0.001 each.</w:t>
      </w:r>
    </w:p>
    <w:p>
      <w:pPr>
        <w:spacing w:after="0" w:line="161" w:lineRule="exact"/>
        <w:rPr>
          <w:rFonts w:ascii="Times New Roman" w:cs="Times New Roman" w:eastAsia="Times New Roman" w:hAnsi="Times New Roman"/>
          <w:sz w:val="18"/>
          <w:szCs w:val="18"/>
          <w:color w:val="231F20"/>
        </w:rPr>
      </w:pPr>
    </w:p>
    <w:p>
      <w:pPr>
        <w:jc w:val="both"/>
        <w:ind w:left="1300" w:hanging="644"/>
        <w:spacing w:after="0" w:line="258" w:lineRule="auto"/>
        <w:tabs>
          <w:tab w:leader="none" w:pos="1300" w:val="left"/>
        </w:tabs>
        <w:numPr>
          <w:ilvl w:val="1"/>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the Act, the Company’s Memorandum and Articles of Association and, where applicable, the rules of the Designated Stock Exchange and/or any competent regulatory authority, the Company shall have the power to purchase or otherwise acquire its own shares and such power shall be exercisable by the Board in such manner, upon such terms and subject to such conditions as it in its absolute discretion thinks fits and any determination by the Board of the manner of purchase shall be deemed authorized by these Articles for purposes of the Act.</w:t>
      </w:r>
    </w:p>
    <w:p>
      <w:pPr>
        <w:spacing w:after="0" w:line="183" w:lineRule="exact"/>
        <w:rPr>
          <w:rFonts w:ascii="Times New Roman" w:cs="Times New Roman" w:eastAsia="Times New Roman" w:hAnsi="Times New Roman"/>
          <w:sz w:val="18"/>
          <w:szCs w:val="18"/>
          <w:color w:val="231F20"/>
        </w:rPr>
      </w:pPr>
    </w:p>
    <w:p>
      <w:pPr>
        <w:jc w:val="both"/>
        <w:ind w:left="1300" w:hanging="644"/>
        <w:spacing w:after="0" w:line="258" w:lineRule="auto"/>
        <w:tabs>
          <w:tab w:leader="none" w:pos="1300" w:val="left"/>
        </w:tabs>
        <w:numPr>
          <w:ilvl w:val="1"/>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is authorised to hold treasury shares in accordance with the Act and may designate as treasury shares any of its shares that it purchases or redeems, or any share surrendered to it subject to the rules of the Designated Stock Exchange and/or any competent regulatory authority. Shares held by the Company as treasury shares shall continue to be classified as treasury shares until such shares are either cancelled or transferred as the Board may determine on such terms and subject to such conditions as it in its absolute discretion thinks fits in accordance with the Act subject to the rules of the Designated Stock Exchange and/or any competent regulatory authority.</w:t>
      </w:r>
    </w:p>
    <w:p>
      <w:pPr>
        <w:spacing w:after="0" w:line="183" w:lineRule="exact"/>
        <w:rPr>
          <w:rFonts w:ascii="Times New Roman" w:cs="Times New Roman" w:eastAsia="Times New Roman" w:hAnsi="Times New Roman"/>
          <w:sz w:val="18"/>
          <w:szCs w:val="18"/>
          <w:color w:val="231F20"/>
        </w:rPr>
      </w:pPr>
    </w:p>
    <w:p>
      <w:pPr>
        <w:ind w:left="1300" w:right="20" w:hanging="644"/>
        <w:spacing w:after="0" w:line="282" w:lineRule="auto"/>
        <w:tabs>
          <w:tab w:leader="none" w:pos="1300" w:val="left"/>
        </w:tabs>
        <w:numPr>
          <w:ilvl w:val="1"/>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may accept the surrender for no consideration of any fully paid share unless, as a result of such surrender, there would no longer be any issued shares of the Company other than shares held as treasury shares.</w:t>
      </w:r>
    </w:p>
    <w:p>
      <w:pPr>
        <w:spacing w:after="0" w:line="161" w:lineRule="exact"/>
        <w:rPr>
          <w:rFonts w:ascii="Times New Roman" w:cs="Times New Roman" w:eastAsia="Times New Roman" w:hAnsi="Times New Roman"/>
          <w:sz w:val="18"/>
          <w:szCs w:val="18"/>
          <w:color w:val="231F20"/>
        </w:rPr>
      </w:pPr>
    </w:p>
    <w:p>
      <w:pPr>
        <w:ind w:left="1300" w:hanging="644"/>
        <w:spacing w:after="0"/>
        <w:tabs>
          <w:tab w:leader="none" w:pos="1300" w:val="left"/>
        </w:tabs>
        <w:numPr>
          <w:ilvl w:val="1"/>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 share shall be issued to bearer.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31F20"/>
        </w:rPr>
        <w:t>ALTERATION OF CAPITAL</w:t>
      </w:r>
    </w:p>
    <w:p>
      <w:pPr>
        <w:spacing w:after="0" w:line="229" w:lineRule="exact"/>
        <w:rPr>
          <w:sz w:val="20"/>
          <w:szCs w:val="20"/>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the rules of the Designated Stock Exchange and/or any competent regulatory authority, the Company may from time to time by ordinary resolution:</w:t>
      </w:r>
    </w:p>
    <w:p>
      <w:pPr>
        <w:spacing w:after="0" w:line="161" w:lineRule="exact"/>
        <w:rPr>
          <w:rFonts w:ascii="Times New Roman" w:cs="Times New Roman" w:eastAsia="Times New Roman" w:hAnsi="Times New Roman"/>
          <w:sz w:val="18"/>
          <w:szCs w:val="18"/>
          <w:color w:val="231F20"/>
        </w:rPr>
      </w:pPr>
    </w:p>
    <w:p>
      <w:pPr>
        <w:ind w:left="1300" w:hanging="644"/>
        <w:spacing w:after="0"/>
        <w:tabs>
          <w:tab w:leader="none" w:pos="1300" w:val="left"/>
        </w:tabs>
        <w:numPr>
          <w:ilvl w:val="1"/>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 its capital by such sum, to be divided into shares of such amounts, as the resolution shall prescribe;</w:t>
      </w:r>
    </w:p>
    <w:p>
      <w:pPr>
        <w:spacing w:after="0" w:line="225" w:lineRule="exact"/>
        <w:rPr>
          <w:rFonts w:ascii="Times New Roman" w:cs="Times New Roman" w:eastAsia="Times New Roman" w:hAnsi="Times New Roman"/>
          <w:sz w:val="18"/>
          <w:szCs w:val="18"/>
          <w:color w:val="231F20"/>
        </w:rPr>
      </w:pPr>
    </w:p>
    <w:p>
      <w:pPr>
        <w:ind w:left="1300" w:hanging="644"/>
        <w:spacing w:after="0"/>
        <w:tabs>
          <w:tab w:leader="none" w:pos="1300" w:val="left"/>
        </w:tabs>
        <w:numPr>
          <w:ilvl w:val="1"/>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consolidate and divide all or any of its capital into shares of larger amount than its existing shares;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ind w:left="1300" w:hanging="644"/>
        <w:spacing w:after="0" w:line="254"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powers of the Board under Article 13, divide its shares into several classes and without prejudice to any special rights previously conferred on the holders of existing shares attach thereto respectively any preferential, deferred, qualified or special rights, privileges, conditions or such restrictions. For the avoidance of doubt, subject to the rules of the Designated Stock Exchange and/or any competent regulatory authority, (i) where a class of shares has been authorized by the Company no resolution of the Company in general meeting is required for the issuance of shares of that class and the Directors may issue shares of that class, and (ii) where the Company issues shares which do not carry voting rights, the words “non-voting” shall appear in the designation of such shares and where the equity capital includes shares with different voting rights, the designation of each class of shares, other than those with the most favourable voting rights, must include the words “restricted voting” or “limited voting”;</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shares, or any of them, into shares of smaller amount than is fixed by the Memorandum of Association (subject, nevertheless, to the Act), and may by such resolution determine that, as between the holders of the shares resulting from such sub-division, one or more of the shares may have any such preferred, deferred or other rights or be subject to any such restrictions as compared with the other or others as the Company has power to attach to unissued or new shares;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its capital by the amount of the shares so cancelled or, in the case of shares, without par value, diminish the number of shares into which its capital is divided.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settle as it considers expedient any difficulty which arises in relation to any consolidation and division under the Article 4 and in particular but without prejudice to the generality of the foregoing may issue certificates in respect of fractions of shares or arrange for the sale of the shares representing fractions and the distribution of the net proceeds of sale (after deduction of the expenses of such sale) in due proportion amongst the Members who would have been entitled to the fractions, and for this purpose the Board may authorise any person to transfer the shares representing fractions to their purchaser or resolve that such net proceeds be paid to the Company for the Company’s benefit. Such purchaser will not be bound to see to the application of the purchase money nor will his title to the shares be affected by any irregularity or invalidity in the proceedings relating to the sale.</w:t>
      </w:r>
    </w:p>
    <w:p>
      <w:pPr>
        <w:spacing w:after="0" w:line="18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by special resolution, subject to any confirmation or consent required by the Act, reduce its share capital or any capital redemption reserve or other undistributable reserve in any manner permitted by law and the rules of the Designated Stock Exchange.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so far as otherwise provided by the conditions of issue, or by these Articles, any capital raised by the creation of new shares shall be treated as if it formed part of the original capital of the Company, and such shares shall be subject to the provisions contained in these Articles with reference to the payment of calls and instalments, transfer and transmission, forfeiture, lien, cancellation, surrender, voting and otherwise.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SHARE RIGHTS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Act, the rules of the Designated Stock Exchange and the Memorandum and Articles of Association and to any special rights conferred on the holders of any shares or class of shares, and without prejudice to Article 14 hereof, any share in a class of shares authorized by the Company (whether forming part of the present capital or not) may be issued.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Act, any preferred shares may be issued or converted into shares that, at a determinable date or at the option of the Company or the holder if so authorised by its Memorandum of Association, are to be redeemed or, are liable to be redeemed on such terms and in such manner as the Directors before the issue or conversion may in their absolute discretion determine. Where the Company purchases for redemption a redeemable share, purchases not made through the market or by tender shall be limited to a maximum price as may from time to time be determined by the Board, either generally or with regard to specific purchases. If purchases are by tender, tenders shall comply with applicable laws.</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capital of the Company shall be divided into shares of a single class the holders of which shall, subject to these Articles: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entitled to one vote per share;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entitled to such dividends as the Board may from time to time declare;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winding up or dissolution of the Company, whether voluntary or involuntary or for the purpose of a reorganisation or otherwise or upon any distribution of capital, be entitled to the surplus assets of the Company;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be entitled to enjoy all of the rights attaching to shares.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VARIATION OF RIGHTS</w:t>
      </w:r>
    </w:p>
    <w:p>
      <w:pPr>
        <w:spacing w:after="0" w:line="229" w:lineRule="exact"/>
        <w:rPr>
          <w:sz w:val="20"/>
          <w:szCs w:val="20"/>
          <w:color w:val="auto"/>
        </w:rPr>
      </w:pPr>
    </w:p>
    <w:p>
      <w:pPr>
        <w:jc w:val="both"/>
        <w:ind w:left="660" w:right="20" w:hanging="652"/>
        <w:spacing w:after="0" w:line="25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Act and without prejudice to Article 8, all or any of the rights that may be attached to the shares or any class of shares may, unless otherwise provided by the terms of issue of the shares of that class, from time to time (whether or not the Company is being wound up) be varied, modified or abrogated with the sanction of a special resolution passed at a separate general meeting of the holders of the shares of that class. To every such separate general meeting all the provisions of these Articles relating to general meetings of the Company shall,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 apply, but so that:</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quorum (whether at a separate general meeting or at its adjourned meeting) shall be a person or persons or (in the case of a Member being a corporation) its duly authorized representative together holding or representing by proxy not less than one-third in nominal value or par value of the issued shares of that class (but so that if at any adjourned meeting of such holders a quorum as above defined is not Present, those Members who are Present shall form a quorum);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ind w:left="1300" w:hanging="644"/>
        <w:spacing w:after="0"/>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holder of shares of the class shall be entitled on a poll to one vote for every such share held by him;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 of shares of the class Present may demand a poll.</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special rights conferred upon the holders of any shares or class of shares shall not, unless otherwise expressly provided in the rights attaching to or the terms of issue of such shares, be deemed to be varied, modified or abrogated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therewith.</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SHARES</w:t>
      </w:r>
    </w:p>
    <w:p>
      <w:pPr>
        <w:spacing w:after="0" w:line="229" w:lineRule="exact"/>
        <w:rPr>
          <w:sz w:val="20"/>
          <w:szCs w:val="20"/>
          <w:color w:val="auto"/>
        </w:rPr>
      </w:pPr>
    </w:p>
    <w:p>
      <w:pPr>
        <w:ind w:left="1300" w:hanging="1292"/>
        <w:spacing w:after="0" w:line="252" w:lineRule="auto"/>
        <w:tabs>
          <w:tab w:leader="none" w:pos="6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(1)Subject to the Act, these Articles and, where applicable, the rules of the Designated Stock Exchange and any applicable rules and regulations of authorities of places where the securities of the Company are listed, and on the conditions that (a) no new class of shares with voting rights superior to those of the shares will be created; and (b) any variations in the relative rights as between the different classes will not result in the creation of new class of shares with voting rights superior to those of the shares, and without prejudice to any special rights or restrictions for the time being attached to any shares or any class of shares, the unissued shares of the Company (whether forming part of the original or any increased capital) shall be at the disposal of the Board, which may offer, allot, grant options over or otherwise dispose of them to such persons, at such times and for such consideration and upon such terms and conditions as the Board may in its absolute discretion determine but so that no shares shall be issued at a discount to the par value. In particular and without prejudice to the generality of the foregoing, the Board is hereby empowered to authorize by resolution or resolutions from time to time the issuance of one or more classes or series of preferred shares and to fix the designations, powers, preferences and relative, participating, optional and other rights, if any, and the qualifications, limitations and restrictions thereof, if any, including, without limitation, the number of shares constituting each such class or series, dividend rights, conversion rights, redemption privileges, voting powers, full or limited or no voting powers, and liquidation preferences, and to increase or decrease the size of any such class or series (but not below the number of shares of any class or series of preferred shares then outstanding) to the extent permitted by the Act.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left="1300" w:hanging="644"/>
        <w:spacing w:after="0" w:line="254"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Board shall be obliged, when making or granting any allotment of, offer of, option over or disposal of shares, to make, or make available, any such allotment, offer, option or shares to Members or others with registered addresses in any particular territory or territories being a territory or territories where, in the absence of a registration statement or other special formalities, this would or might, in the opinion of the Board, be unlawful or impracticable. Members affected as a result of the foregoing sentence shall not be, or be deemed to be, a separate class of members for any purpose whatsoever. Except as otherwise expressly provided in the resolution or resolutions providing for the establishment of any class or series of preferred shares, no vote of the holders of preferred shares or ordinary shares shall be a prerequisite to the issuance of any shares of any class or series of the preferred shares authorized by and complying with the conditions of the Memorandum and Articles of Association.</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Act, these Articles and, where applicable, the rules of the Designated Stock Exchange and any applicable rules and regulations of authorities of places where the securities of the Company are listed, the Board may issue options, warrants or convertible securities or securities of similar nature conferring the right upon the holders thereof to subscribe for, purchase or receive any class of shares or securities in the capital of the Company on such terms as it may from time to time determine.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 connection with the issue of any shares exercise all powers of paying commission and brokerage conferred or permitted by the Act. Subject to the Act, the commission may be satisfied by the payment of cash or by the allotment of fully or partly paid shares or partly in one and partly in the other.</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law, no person shall be recognised by the Company as holding any share upon any trust and the Company shall not be bound by or required in any way to recognise (even when having notice thereof) any equitable, contingent, future or partial interest in any share or any fractional part of a share or (except only as otherwise provided by these Articles or by law) any other rights in respect of any share except an absolute right to the entirety thereof in the registered holder.</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Act and these Articles, the Board may at any time after the allotment of shares but before any person has been entered in the Register as the holder, recognise a renunciation thereof by the allottee in favour of some other person and may accord to any allottee of a share a right to effect such renunciation upon and subject to such terms and conditions as the Board considers fit to impose.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SHARE CERTIFICATES</w:t>
      </w:r>
    </w:p>
    <w:p>
      <w:pPr>
        <w:spacing w:after="0" w:line="229" w:lineRule="exact"/>
        <w:rPr>
          <w:sz w:val="20"/>
          <w:szCs w:val="20"/>
          <w:color w:val="auto"/>
        </w:rPr>
      </w:pPr>
    </w:p>
    <w:p>
      <w:pPr>
        <w:jc w:val="both"/>
        <w:ind w:left="652" w:hanging="652"/>
        <w:spacing w:after="0" w:line="258" w:lineRule="auto"/>
        <w:tabs>
          <w:tab w:leader="none" w:pos="6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certificate shall be issued under the Seal or a facsimile thereof or with the Seal printed thereon and shall specify the number and class and distinguishing numbers (if any) of the shares to which it relates, and the amount paid up thereon and may otherwise be in such form as the Directors may from time to time determine. No certificate shall be issued representing shares of more than one class. The Board may by resolution determine, either generally or in any particular case or cases, that any signatures on any such certificates (or certificates in respect of other securities) need not be autographic but may be affixed to such certificates by some mechanical means or may be printed thereon.</w:t>
      </w:r>
    </w:p>
    <w:p>
      <w:pPr>
        <w:spacing w:after="0" w:line="183" w:lineRule="exact"/>
        <w:rPr>
          <w:rFonts w:ascii="Times New Roman" w:cs="Times New Roman" w:eastAsia="Times New Roman" w:hAnsi="Times New Roman"/>
          <w:sz w:val="18"/>
          <w:szCs w:val="18"/>
          <w:color w:val="auto"/>
        </w:rPr>
      </w:pPr>
    </w:p>
    <w:p>
      <w:pPr>
        <w:ind w:left="1292" w:hanging="1292"/>
        <w:spacing w:after="0" w:line="282" w:lineRule="auto"/>
        <w:tabs>
          <w:tab w:leader="none" w:pos="6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(1)In the case of a share held jointly by several persons, the Company shall not be bound to issue more than one certificate therefor and delivery of a certificate to one of several joint holders shall be sufficient delivery to all such holders.</w:t>
      </w:r>
    </w:p>
    <w:p>
      <w:pPr>
        <w:spacing w:after="0" w:line="161" w:lineRule="exact"/>
        <w:rPr>
          <w:rFonts w:ascii="Times New Roman" w:cs="Times New Roman" w:eastAsia="Times New Roman" w:hAnsi="Times New Roman"/>
          <w:sz w:val="18"/>
          <w:szCs w:val="18"/>
          <w:color w:val="auto"/>
        </w:rPr>
      </w:pPr>
    </w:p>
    <w:p>
      <w:pPr>
        <w:jc w:val="both"/>
        <w:ind w:left="1292" w:right="20" w:hanging="644"/>
        <w:spacing w:after="0" w:line="266" w:lineRule="auto"/>
        <w:tabs>
          <w:tab w:leader="none" w:pos="129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share stands in the names of two or more persons, the person first named in the Register shall as regards service of notices and, subject to the provisions of these Articles, all or any other matters connected with the Company, except the transfer of the shares, be deemed the sole holder thereof.</w:t>
      </w:r>
    </w:p>
    <w:p>
      <w:pPr>
        <w:spacing w:after="0" w:line="175" w:lineRule="exact"/>
        <w:rPr>
          <w:rFonts w:ascii="Times New Roman" w:cs="Times New Roman" w:eastAsia="Times New Roman" w:hAnsi="Times New Roman"/>
          <w:sz w:val="18"/>
          <w:szCs w:val="18"/>
          <w:color w:val="auto"/>
        </w:rPr>
      </w:pPr>
    </w:p>
    <w:p>
      <w:pPr>
        <w:jc w:val="both"/>
        <w:ind w:left="652" w:hanging="652"/>
        <w:spacing w:after="0" w:line="261" w:lineRule="auto"/>
        <w:tabs>
          <w:tab w:leader="none" w:pos="6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obliged to issue a share certificate to a Member unless the Member requests it in writing from the Company. Every person whose name is entered, upon an allotment of shares, as a Member in the Register shall be entitled without payment, to receive one certificate for all such shares of any one class or several certificates each for one or more of such shares of such class upon payment for every certificate after the first of such reasonable out-of-pocket expenses as the Board from time to time determines.</w:t>
      </w:r>
    </w:p>
    <w:p>
      <w:pPr>
        <w:spacing w:after="0" w:line="179"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certificates shall be issued within the relevant time limit as prescribed by the Act or as the Designated Stock Exchange may from time to time determine, whichever is the shorter, after allotment or, except in the case of a transfer which the Company is for the time being entitled to refuse to register and does not register, after lodgment of a transfer with the Company.</w:t>
      </w:r>
    </w:p>
    <w:p>
      <w:pPr>
        <w:spacing w:after="0" w:line="175" w:lineRule="exact"/>
        <w:rPr>
          <w:rFonts w:ascii="Times New Roman" w:cs="Times New Roman" w:eastAsia="Times New Roman" w:hAnsi="Times New Roman"/>
          <w:sz w:val="18"/>
          <w:szCs w:val="18"/>
          <w:color w:val="auto"/>
        </w:rPr>
      </w:pPr>
    </w:p>
    <w:p>
      <w:pPr>
        <w:ind w:left="1292" w:hanging="1292"/>
        <w:spacing w:after="0" w:line="261" w:lineRule="auto"/>
        <w:tabs>
          <w:tab w:leader="none" w:pos="6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(1)Upon every transfer of shares the certificate held by the transferor shall be given up to be cancelled, and shall forthwith be cancelled accordingly, and a new certificate shall be issued to the transferee in respect of the shares transferred to him at such fee as is provided in paragraph (2) of this Article 21. If any of the shares included in the certificate so given up shall be retained by the transferor a new certificate for the balance shall be issued to him at the aforesaid fee payable by the transferor to the Company in respect thereof.</w:t>
      </w:r>
    </w:p>
    <w:p>
      <w:pPr>
        <w:spacing w:after="0" w:line="179"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 referred to in paragraph (1) above shall be an amount not exceeding the relevant maximum amount as the Designated Stock Exchange may from time to time determine provided that the Board may at any time determine a lower amount for such fee.</w:t>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22" w:name="page23"/>
    <w:bookmarkEnd w:id="22"/>
    <w:p>
      <w:pPr>
        <w:jc w:val="both"/>
        <w:ind w:left="660" w:hanging="652"/>
        <w:spacing w:after="0" w:line="25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 certificate shall be damaged or defaced or alleged to have been lost, stolen or destroyed a new certificate representing the same shares may be issued to the relevant Member upon request and on payment of such fee as the Board may determine and, subject to compliance with such terms (if any) as to evidence and indemnity and to payment of the costs and reasonable out-of-pocket expenses of the Company in investigating such evidence and preparing such indemnity as the Board may think fit and, in case of damage or defacement, on delivery of the old certificate to the Company provided always that where share warrants have been issued, no new share warrant shall be issued to replace one that has been lost unless the Board has determined that the original has been destroyed.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LIEN</w:t>
      </w:r>
    </w:p>
    <w:p>
      <w:pPr>
        <w:spacing w:after="0" w:line="229" w:lineRule="exact"/>
        <w:rPr>
          <w:sz w:val="20"/>
          <w:szCs w:val="20"/>
          <w:color w:val="auto"/>
        </w:rPr>
      </w:pPr>
    </w:p>
    <w:p>
      <w:pPr>
        <w:jc w:val="both"/>
        <w:ind w:left="660" w:hanging="652"/>
        <w:spacing w:after="0" w:line="25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 first and paramount lien on every share (not being a fully paid share) for all moneys (whether presently payable or not) called or payable at a fixed time in respect of that share. The Company shall also have a first and paramount lien on every share (not being a fully paid share) registered in the name of a Member (whether or not jointly with other Members) for all amounts of money presently payable by such Member or his estate to the Company whether the same shall have been incurred before or after notice to the Company of any equitable or other interest of any person other than such member, and whether the period for the payment or discharge of the same shall have actually become due or not, and notwithstanding that the same are joint debts or liabilities of such Member or his estate and any other person, whether a Member or not. The Company’s lien on a share shall extend to all dividends or other moneys payable thereon or in respect thereof. The Board may at any time, generally or in any particular case, waive any lien that has arisen or declare any share exempt in whole or in part, from the provisions of this Article 23.</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Company may sell in such manner as the Board determines any share on which the Company has a lien, but no sale shall be made unless some sum in respect of which the lien exists is presently payable, or the liability or engagement in respect of which such lien exists is liable to be presently fulfilled or discharged nor until the expiration of fourteen (14) clear days after a notice in writing, stating and demanding payment of the sum presently payable, or specifying the liability or engagement and demanding fulfilment or discharge thereof and giving notice of the intention to sell in default, has been served on the registered holder for the time being of the share or the person entitled thereto by reason of his death or bankruptcy.</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of the sale shall be received by the Company and applied in or towards payment or discharge of the debt or liability in respect of which the lien exists, so far as the same is presently payable, and any residue shall (subject to a like lien for debts or liabilities not presently payable as existed upon the share prior to the sale) be paid to the person entitled to the share at the time of the sale. To give effect to any such sale the Board may authorise some person to transfer the shares sold to the purchaser thereof. The purchaser shall be registered as the holder of the shares so transferred and he shall not be bound to see to the application of the purchase money, nor shall his title to the shares be affected by any irregularity or invalidity in the proceedings relating to the sale.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CALLS ON SHARES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and to the terms of allotment, the Board may from time to time make calls upon the Members in respect of any moneys unpaid on their shares (whether on account of the nominal value of the shares or by way of premium), and each Member shall (subject to being given at least fourteen (14) clear days’ Notice specifying the time and place of payment) pay to the Company as required by such notice the amount called on his shares. A call may be extended, postponed or revoked in whole or in part as the Board determines but no Member shall be entitled to any such extension, postponement or revocation except as a matter of grace and favour.</w:t>
      </w:r>
    </w:p>
    <w:p>
      <w:pPr>
        <w:spacing w:after="0" w:line="18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call shall be deemed to have been made at the time when the resolution of the Board authorising the call was passed and may be made payable either in one lump sum or by instalments.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upon whom a call is made shall remain liable for calls made upon him notwithstanding the subsequent transfer of the shares in respect of which the call was made. The joint holders of a share shall be jointly and severally liable to pay all calls and instalments due in respect thereof or other moneys due in respect thereof.</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sum called in respect of a share is not paid before or on the day appointed for payment thereof, the person from whom the sum is due shall pay interest on the amount unpaid from the day appointed for payment thereof to the time of actual payment at such rate (not exceeding twenty per cent. (20%) per annum) as the Board may determine, but the Board may in its absolute discretion waive payment of such interest in whole or in part.</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shall be entitled to receive any dividend or bonus or to be present and vote (save as proxy for another Member) at any general meeting either personally or by proxy, or be reckoned in a quorum, or exercise any other privilege as a Member until all calls or instalments due by him to the Company, whether alone or jointly with any other person, together with interest and expenses (if any) shall have been paid.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trial or hearing of any action or other proceedings for the recovery of any money due for any call, it shall be sufficient to prove that the name of the Member sued is entered in the Register as the holder, or one of the holders, of the shares in respect of which such debt accrued, that the resolution making the call is duly recorded in the minute book, and that notice of such call was duly given to the Member sued, in pursuance of these Articles; and it shall not be necessary to prove the appointment of the Directors who made such call, nor any other matters whatsoever, but the proof of the matters aforesaid shall be conclusive evidence of the debt.</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payable in respect of a share upon allotment or at any fixed date, whether in respect of nominal value or premium or as an instalment of a call, shall be deemed to be a call duly made and payable on the date fixed for payment and if it is not paid the provisions of these Articles shall apply as if that amount had become due and payable by virtue of a call duly made and notified.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issue of shares the Board may differentiate between the allottees or holders as to the amount of calls to be paid and the times of payment.</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if it thinks fit, receive from any Member willing to advance the same, and either in money or money’s worth, all or any part of the moneys uncalled and unpaid or instalments payable upon any shares held by him and upon all or any of the moneys so advanced (until the same would, but for such advance, become presently payable) pay interest at such rate (if any) as the Board may decide. The Board may at any time repay the amount so advanced upon giving to such Member not less than one (1) month’s Notice of its intention in that behalf, unless before the expiration of such notice the amount so advanced shall have been called up on the shares in respect of which it was advanced. Such payment in advance shall not entitle the holder of such share or shares to participate in respect thereof in a dividend subsequently declared.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FORFEITURE OF SHARES</w:t>
      </w:r>
    </w:p>
    <w:p>
      <w:pPr>
        <w:spacing w:after="0" w:line="229"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(1)If a call remains unpaid after it has become due and payable the Board may give to the person from whom it is due not less than fourteen</w:t>
      </w:r>
    </w:p>
    <w:p>
      <w:pPr>
        <w:spacing w:after="0" w:line="27"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 days’ Notice:</w:t>
      </w:r>
    </w:p>
    <w:p>
      <w:pPr>
        <w:spacing w:after="0" w:line="207" w:lineRule="exact"/>
        <w:rPr>
          <w:sz w:val="20"/>
          <w:szCs w:val="20"/>
          <w:color w:val="auto"/>
        </w:rPr>
      </w:pPr>
    </w:p>
    <w:p>
      <w:pPr>
        <w:ind w:left="1960" w:hanging="656"/>
        <w:spacing w:after="0" w:line="282" w:lineRule="auto"/>
        <w:tabs>
          <w:tab w:leader="none" w:pos="196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payment of the amount unpaid together with any interest which may have accrued and which may still accrue up to the date of actual payment;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stating that if the Notice is not complied with the shares on which the call was made will be liable to be forfeited.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requirements of any such Notice are not complied with, any share in respect of which such Notice has been given may at any time thereafter, before payment of all calls and interest due in respect thereof has been made, be forfeited by a resolution of the Board to that effect, and such forfeiture shall include all dividends and bonuses declared in respect of the forfeited share but not actually paid before the forfeiture.</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share has been forfeited, notice of the forfeiture shall be served upon the person who was before forfeiture the holder of the share. No forfeiture shall be invalidated by any omission or neglect to give such Notice.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accept the surrender of any share liable to be forfeited hereunder and, in such case, references in these Articles to forfeiture will include surrender.</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so forfeited shall be deemed the property of the Company and may be sold, re-allotted or otherwise disposed of to such person, upon such terms and in such manner as the Board determines, and at any time before a sale, re-allotment or disposition the forfeiture may be annulled by the Board on such terms as the Board determines.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left="660" w:hanging="652"/>
        <w:spacing w:after="0" w:line="253"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shares have been forfeited shall cease to be a Member in respect of the forfeited shares but nevertheless shall remain liable to pay the Company all moneys which at the date of forfeiture were presently payable by him to the Company in respect of the shares, with (if the Board shall in its discretion so requires) interest thereon from the date of forfeiture until payment at such rate (not exceeding twenty per cent. (20%) per annum) as the Board shall determine. The Board may enforce payment thereof if it thinks fit, and without any deduction or allowance for the value of the forfeited shares, at the date of forfeiture, but his liability shall cease if and when the Company shall have received payment in full of all such moneys in respect of the shares. For the purposes of this Article 39 any sum which, by the terms of issue of a share, is payable thereon at a fixed time which is subsequent to the date of forfeiture, whether on account of the nominal value of the share or by way of premium, shall notwithstanding that time has not yet arrived be deemed to be payable at the date of forfeiture, and the same shall become due and payable immediately upon the forfeiture, but interest thereon shall only be payable in respect of any period between the said fixed time and the date of actual payment.</w:t>
      </w:r>
    </w:p>
    <w:p>
      <w:pPr>
        <w:spacing w:after="0" w:line="194"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declaration by a Director or the Secretary that a share has been forfeited on a specified date shall be conclusive evidence of the facts therein stated as against all persons claiming to be entitled to the share, and such declaration shall (subject to the execution of an instrument of transfer by the Company if necessary) constitute a good title to the share, and the person to whom the share is disposed of shall be registered as the holder of the share and shall not be bound to see to the application of the consideration (if any), nor shall his title to the share be affected by any irregularity in or invalidity of the proceedings in reference to the forfeiture, sale or disposal of the share. When any share shall have been forfeited, notice of the declaration shall be given to the Member in whose name it stood immediately prior to the forfeiture, and an entry of the forfeiture, with the date thereof, shall forthwith be made in the Register, but no forfeiture shall be in any manner invalidated by any omission or neglect to give such notice or make any such entry.</w:t>
      </w:r>
    </w:p>
    <w:p>
      <w:pPr>
        <w:spacing w:after="0" w:line="19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such forfeiture as aforesaid the Board may at any time, before any shares so forfeited shall have been sold, re-allotted or otherwise disposed of, permit the shares forfeited to be bought back upon the terms of payment of all calls and interest due upon and expenses incurred in respect of the share, and upon such further terms (if any) as it thinks fit.</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forfeiture of a share shall not prejudice the right of the Company to any call already made or instalment payable thereon.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REGISTER OF MEMBERS</w:t>
      </w:r>
    </w:p>
    <w:p>
      <w:pPr>
        <w:spacing w:after="0" w:line="229"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(1)The Company shall keep in one or more books a Register of its Members and shall enter therein the following particulars, that is to say:</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each Member, the number and class of shares held by him and the amount paid or agreed to be considered as paid on such shares;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each person was entered in the Register;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keep an overseas or local or other branch register of Members resident in any place, and the Board may make and vary such regulations as it determines in respect of the keeping of any such register and maintaining a Registration Office in connection therewith.</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 and branch register of Members, as the case may be, shall be open to inspection for such times and on such days as the Board shall determine by Members without charge or by any other person, upon a maximum payment of $2.50 or such other sum specified by the Board, at the Office or Registration Office or such other place at which the Register is kept in accordance with the Act. The Register including any overseas or local or other branch register of Members may, after compliance with any notice requirements of the Designated Stock Exchange or by any electronic means in such manner as may be accepted by the Designated Stock Exchange to that effect, be closed at such times or for such periods not exceeding in the whole thirty (30) days in each year as the Board may determine and either generally or in respect of any class of shares. Any Register held in Hong Kong shall during normal business hours (subject to such reasonable restrictions as the Board may impose) be open for inspection by a Member without charge and such other person on payment of a fee of such amount not exceeding the maximum amount as may from time to time be permitted under the Hong Kong Listing Rules as the Board may determine for each inspection, provided that the Company may be permitted to close the register in terms equivalent to section 632 of the Companies Ordinance.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RECORD DATES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the Members entitled to notice of or to vote at any general meeting,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shares or for the purpose of any other lawful action, the Board may fix, in advance, a date as the record date for any such determination of Members, which date shall not be more than sixty (60) days nor less than ten (10) days before the date of such meeting, nor more than sixty (60) days prior to any other such action.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If the Board does not fix a record date for any general meeting, the record date for determining the Members entitled to a notice of or to vote at such meeting shall be at the close of business on the day next preceding the day on which notice is given, or, if in accordance with these Articles notice is waived, at the close of business on the day next preceding the day on which the meeting is held. The record date for determining the Members for any other purpose shall be at the close of business on the day on which the Board adopts the resolution relating thereto.</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 determination of the Members of record entitled to notice of or to vote at a meeting of the Members shall apply to any adjournment of the meeting; provided, however, that the Board may fix a new record date for the adjourned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TRANSFER OF SHARES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any Member may transfer all or any of his shares by an instrument of transfer in the usual or common form or in a form prescribed by the Designated Stock Exchange or in any other form approved by the Board and may be under hand or, if the transferor or transferee is a clearing house or a central depository house or its nominee(s), by hand or by machine imprinted signature on behalf of it (or any successor thereto) or by such other manner of execution as the Board may approve from time to time.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shall be executed by or on behalf of the transferor and the transferee provided that the Board may dispense with the execution of the instrument of transfer by the transferee in any case which it thinks fit in its discretion, which is consistent with any standard form of transfer as prescribed by the Designated Stock Exchange, to do so. Without prejudice to Article 47, the Board may also resolve, either generally or in any particular case, upon request by either the transferor or transferee, to accept mechanically executed transfers. The transferor shall be deemed to remain the holder of the share until the name of the transferee is entered in the Register in respect thereof. Nothing in these Articles shall preclude the Board from recognising a renunciation of the allotment or provisional allotment of any share by the allottee in favour of some other person.</w:t>
      </w:r>
    </w:p>
    <w:p>
      <w:pPr>
        <w:spacing w:after="0" w:line="188" w:lineRule="exact"/>
        <w:rPr>
          <w:rFonts w:ascii="Times New Roman" w:cs="Times New Roman" w:eastAsia="Times New Roman" w:hAnsi="Times New Roman"/>
          <w:sz w:val="18"/>
          <w:szCs w:val="18"/>
          <w:color w:val="auto"/>
        </w:rPr>
      </w:pPr>
    </w:p>
    <w:p>
      <w:pPr>
        <w:ind w:left="1300" w:hanging="1292"/>
        <w:spacing w:after="0" w:line="258" w:lineRule="auto"/>
        <w:tabs>
          <w:tab w:leader="none" w:pos="6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(1)The Board may, in its absolute discretion, and without giving any reason therefor, refuse to register a transfer of any share (not being a fully paid up share) to a person of whom it does not approve, or any share issued under any share incentive scheme for employees upon which a restriction on transfer imposed thereby still subsists, and it may also, without prejudice to the foregoing generality, refuse to register a transfer of any share to more than four joint holders or a transfer of any share (not being a fully paid up share) on which the Company has a lien.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left="1300" w:hanging="644"/>
        <w:spacing w:after="0" w:line="261"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in so far as permitted by any applicable law may, in its absolute discretion, at any time and from time to time transfer any share upon the Register to any branch register or any share on any branch register to the Register or any other branch register. In the event of any such transfer, the shareholder requesting such transfer shall bear the cost of effecting the transfer unless the Board otherwise determines.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Board otherwise agrees (which agreement may be on such terms and subject to such conditions as the Board in its absolute discretion may from time to time determine, and which agreement the Board shall, without giving any reason therefor, be entitled in its absolute discretion to give or withhold), no shares upon the Register shall be transferred to any branch register nor shall shares on any branch register be transferred to the Register or any other branch register and all transfers and other documents of title shall be lodged for registration, and registered, in the case of any shares on a branch register, at the relevant Registration Office, and, in the case of any shares on the Register, at the Office or such other place at which the Register is kept in accordance with the Act.</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Article 49, the Board may decline to recognise any instrument of transfer unless:</w:t>
      </w:r>
    </w:p>
    <w:p>
      <w:pPr>
        <w:spacing w:after="0" w:line="225" w:lineRule="exact"/>
        <w:rPr>
          <w:sz w:val="20"/>
          <w:szCs w:val="20"/>
          <w:color w:val="auto"/>
        </w:rPr>
      </w:pPr>
    </w:p>
    <w:p>
      <w:pPr>
        <w:ind w:left="1300" w:hanging="644"/>
        <w:spacing w:after="0" w:line="282"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Designated Stock Exchange may determine to be payable or such lesser sum as the Board may from time to time require is paid to the Company in respect thereof;</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at the Office or such other place at which the Register is kept in accordance with the Act or the Registration Office (as the case may be) accompanied by the relevant share certificate(s) and such other evidence as the Board may reasonably require to show the right of the transferor to make the transfer (and, if the instrument of transfer is executed by some other person on his behalf, the authority of that person so to do); and</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instrument of transfer is duly and properly stamped.</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refuses to register a transfer of any share, it shall, within two months after the date on which the transfer was lodged with the Company, send to each of the transferor and transferee notice of the refusal.</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of transfers of shares or of any class of shares may, after compliance with any notice requirement of the Designated Stock Exchange, be suspended at such times and for such periods (not exceeding in the whole thirty (30) days in any year) as the Board may determine.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TRANSMISSION OF SHARES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Member dies, the survivor or survivors where the deceased was a joint holder, and his legal personal representatives where he was a sole or only surviving holder, will be the only persons recognised by the Company as having any title to his interest in the shares; but nothing in this Article will release the estate of a deceased Member (whether sole or joint) from any liability in respect of any share which had been solely or jointly held by him.</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becoming entitled to a share in consequence of the death or bankruptcy or winding-up of a Member may, upon such evidence as to his title being produced as may be required by the Board, elect either to become the holder of the share or to have some person nominated by him registered as the transferee thereof. If he elects to become the holder he shall notify the Company in writing either at the Registration Office or the Office, as the case may be, to that effect. If he elects to have another person registered he shall execute a transfer of the share in favour of that person. The provisions of these Articles relating to the transfer and registration of transfers of shares shall apply to such notice or transfer as aforesaid as if the death or bankruptcy of the Member had not occurred and the notice or transfer were a transfer signed by such Member.</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by reason of the death or bankruptcy or winding-up of a Member shall be entitled to the same dividends and other advantages to which he would be entitled if he were the registered holder of the share. However, the Board may, if it thinks fit, withhold the payment of any dividend payable or other advantages in respect of such share until such person shall become the registered holder of the share or shall have effectually transferred such share, but, subject to the requirements of Article 76(2) being met, such a person may vote at meetings.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UNTRACEABLE MEMBERS</w:t>
      </w:r>
    </w:p>
    <w:p>
      <w:pPr>
        <w:spacing w:after="0" w:line="229" w:lineRule="exact"/>
        <w:rPr>
          <w:sz w:val="20"/>
          <w:szCs w:val="20"/>
          <w:color w:val="auto"/>
        </w:rPr>
      </w:pPr>
    </w:p>
    <w:p>
      <w:pPr>
        <w:ind w:left="1300" w:hanging="1292"/>
        <w:spacing w:after="0" w:line="261" w:lineRule="auto"/>
        <w:tabs>
          <w:tab w:leader="none" w:pos="6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(1)Without prejudice to the rights of the Company under paragraph (2) of this Article 56, the Company may cease sending cheques for dividend entitlements or dividend warrants by post if such cheques or warrants have been left uncashed on two consecutive occasions. However, the Company may exercise the power to cease sending cheques for dividend entitlements or dividend warrants after the first occasion on which such a cheque or warrant is returned undelivered.</w:t>
      </w:r>
    </w:p>
    <w:p>
      <w:pPr>
        <w:spacing w:after="0" w:line="17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power to sell, in such manner as the Board thinks fit, any shares of a Member who is untraceable, but no such sale shall be made unless: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cheques or warrants in respect of dividends of the shares in question, being not less than three in total number, for any sum payable in cash to the holder of such shares in respect of them sent during the relevant period in the manner authorised by the Articles of the Company have remained uncashed;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both"/>
        <w:ind w:left="1960" w:hanging="656"/>
        <w:spacing w:after="0" w:line="266" w:lineRule="auto"/>
        <w:tabs>
          <w:tab w:leader="none" w:pos="1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far as it is aware at the end of the relevant period, the Company has not at any time during the relevant period received any indication of the existence of the Member who is the holder of such shares or of a person entitled to such shares by death, bankruptcy or operation of law; and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if so required by the rules governing the listing of shares on the Designated Stock Exchange, has given notice to, and caused advertisement in newspapers to be made in accordance with the requirements of, the Designated Stock Exchange of its intention to sell such shares in the manner required by the Designated Stock Exchange, and a period of three (3) months or such shorter period as may be allowed by the Designated Stock Exchange has elapsed since the date of such advertisement.</w:t>
      </w:r>
    </w:p>
    <w:p>
      <w:pPr>
        <w:spacing w:after="0" w:line="180"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For the purpose of the foregoing, the “relevant period” means the period commencing twelve (12) years before the date of publication of the advertisement referred to in paragraph (c) of this Article and ending at the expiry of the period referred to in that paragraph.</w:t>
      </w:r>
    </w:p>
    <w:p>
      <w:pPr>
        <w:spacing w:after="0" w:line="162" w:lineRule="exact"/>
        <w:rPr>
          <w:sz w:val="20"/>
          <w:szCs w:val="20"/>
          <w:color w:val="auto"/>
        </w:rPr>
      </w:pPr>
    </w:p>
    <w:p>
      <w:pPr>
        <w:jc w:val="both"/>
        <w:ind w:left="1300" w:hanging="644"/>
        <w:spacing w:after="0" w:line="254"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effect to any such sale the Board may authorise some person to transfer the said shares and an instrument of transfer signed or otherwise executed by or on behalf of such person shall be as effective as if it had been executed by the registered holder or the person entitled by transmission to such shares, and the purchaser shall not be bound to see to the application of the purchase money nor shall his title to the shares be affected by any irregularity or invalidity in the proceedings relating to the sale. The net proceeds of the sale will belong to the Company and upon receipt by the Company of such net proceeds it shall become indebted to the former Member for an amount equal to such net proceeds. No trust shall be created in respect of such debt and no interest shall be payable in respect of it and the Company shall not be required to account for any money earned from the net proceeds which may be employed in the business of the Company or as it thinks fit. Any sale under this Article shall be valid and effective notwithstanding that the Member holding the shares sold is dead, bankrupt or otherwise under any legal disability or incapacity.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GENERAL MEETINGS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hold a general meeting as its annual general meeting in each financial year, within a period of not more than six months after the end of its financial year (or such longer period as The Stock Exchange of Hong Kong Limited may authorise), and shall specify the meeting as such in the notices calling it. An annual general meeting of the Company shall be held at such time and place as may be determined by the Board.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general meeting, other than an annual general meeting, shall be called an extraordinary general meeting. General meetings may be held at such times and in any location in the world as may be determined by the Board.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left="660" w:hanging="652"/>
        <w:spacing w:after="0" w:line="255"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or the Chairman of the Board may call extraordinary general meetings, which extraordinary general meetings shall be held at such times and locations (as permitted hereby) as such person or persons shall determine. Any one or more Members holding not less than ten per cent (10%) of the votes attaching to the total issued and paid up share capital of the Company on a one vote per share basis at the date of deposit of the requisition, to require an extraordinary general meeting to be convened or add resolutions to a meeting agenda; and such meeting shall be held within two (2) months after the deposit of such requisition. If within twenty one (21) days of such deposit the Board fails to proceed to convene such meeting the requisitionist(s) himself (themselves) may do so in the same manner, and all reasonable expenses incurred by the requisitionist(s) as a result of the failure of the Board shall be reimbursed to the requisitionist(s) by the Company.</w:t>
      </w:r>
    </w:p>
    <w:p>
      <w:pPr>
        <w:spacing w:after="0" w:line="189" w:lineRule="exact"/>
        <w:rPr>
          <w:sz w:val="20"/>
          <w:szCs w:val="20"/>
          <w:color w:val="auto"/>
        </w:rPr>
      </w:pPr>
    </w:p>
    <w:p>
      <w:pPr>
        <w:jc w:val="both"/>
        <w:ind w:left="660" w:hanging="1295"/>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59A.</w:t>
      </w:r>
      <w:r>
        <w:rPr>
          <w:sz w:val="20"/>
          <w:szCs w:val="20"/>
          <w:color w:val="auto"/>
        </w:rPr>
        <w:tab/>
      </w:r>
      <w:r>
        <w:rPr>
          <w:rFonts w:ascii="Times New Roman" w:cs="Times New Roman" w:eastAsia="Times New Roman" w:hAnsi="Times New Roman"/>
          <w:sz w:val="18"/>
          <w:szCs w:val="18"/>
          <w:color w:val="auto"/>
        </w:rPr>
        <w:t>(A) The Directors may make Communication Facilities available for a specific general meeting or all general meetings of the Company so that Members and other participants may attend and participate at such general meetings by means of such Communication Facilities. Without limiting the generality of the foregoing, the Directors may determine that any general meeting may be held as a Virtual Meeting. The Persons’ participation in such a meeting shall constitute presence at such meetings and shall be counted in the quorum of the meeting and entitled to vote at the meeting shall be duly constituted and its proceedings valid provided that the Chairman is satisfied that adequate Communication Facilities are available throughout the meeting to ensure that Members are able to participate in the business for which the meeting has been convened.</w:t>
      </w:r>
    </w:p>
    <w:p>
      <w:pPr>
        <w:spacing w:after="0" w:line="200" w:lineRule="exact"/>
        <w:rPr>
          <w:sz w:val="20"/>
          <w:szCs w:val="20"/>
          <w:color w:val="auto"/>
        </w:rPr>
      </w:pPr>
    </w:p>
    <w:p>
      <w:pPr>
        <w:spacing w:after="0" w:line="203" w:lineRule="exact"/>
        <w:rPr>
          <w:sz w:val="20"/>
          <w:szCs w:val="20"/>
          <w:color w:val="auto"/>
        </w:rPr>
      </w:pPr>
    </w:p>
    <w:p>
      <w:pPr>
        <w:jc w:val="both"/>
        <w:ind w:left="1300" w:hanging="644"/>
        <w:spacing w:after="0" w:line="258"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Members participating in a meeting by means of Communication Facilities, a failure (for any reason) of the Communication Facilities or communication equipment, the inability of one or more Members or proxies to access, or continue to access, the Communication Facilities despite adequate Communication Facilities having been made available by the Company, shall not affect the validity of the meeting or the resolutions passed, or any business conducted there or any action taken pursuant to such business provided that there is a quorum present throughout the meeting.</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appears to the Chairman that:</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 Facilities being made available by the Company become inadequate or are otherwise not sufficient to allow the meeting to be conducted substantially in accordance with the provisions set out in the notice of the meeting at these Articles;</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possible to ascertain the view of those Present or to give all Persons entitled to do so a reasonable opportunity to speak, communicate and/or vote at the meeting; 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violence or the threat of violence, unruly behaviour or other disruption occurring at the meeting or it is not possible to secure the proper and orderly conduct of the meeting;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then, without prejudice to any other power which the Chairman may have under these Articles or at common law, the Chairman may, at his/her discretion, without the consent of the meeting, and before or after the meeting has started and irrespective of whether a quorum is present, interrupt or adjourn the meeting (including adjournment for an indefinite period). All business conducted at the meeting up to the time of such adjournment shall be valid.</w:t>
      </w:r>
    </w:p>
    <w:p>
      <w:pPr>
        <w:spacing w:after="0" w:line="180" w:lineRule="exact"/>
        <w:rPr>
          <w:sz w:val="20"/>
          <w:szCs w:val="20"/>
          <w:color w:val="auto"/>
        </w:rPr>
      </w:pPr>
    </w:p>
    <w:p>
      <w:pPr>
        <w:jc w:val="both"/>
        <w:ind w:left="1300" w:hanging="644"/>
        <w:spacing w:after="0" w:line="266"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Persons seeking to attend and participate in a meeting by means of Communication Facilities shall be responsible for maintaining adequate facilities to enable them to do so. Subject to Article 59A.(C), any inability of a Person or Persons to attend or participate in a general meeting by way of Communication Facilities shall not invalidate the proceedings of and/or resolutions passed at that meeting.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GENERAL MEETINGS</w:t>
      </w:r>
    </w:p>
    <w:p>
      <w:pPr>
        <w:spacing w:after="0" w:line="229" w:lineRule="exact"/>
        <w:rPr>
          <w:sz w:val="20"/>
          <w:szCs w:val="20"/>
          <w:color w:val="auto"/>
        </w:rPr>
      </w:pPr>
    </w:p>
    <w:p>
      <w:pPr>
        <w:ind w:left="1300" w:hanging="1292"/>
        <w:spacing w:after="0" w:line="266" w:lineRule="auto"/>
        <w:tabs>
          <w:tab w:leader="none" w:pos="6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(1)An annual general meeting shall be called by not less than twenty-one (21) days’ Notice and any other general meeting (including an extraordinary general meeting) shall be called by not less than fourteen (14) days’ Notice in writing. A general meeting may be called by shorter notice, subject to the Act, if it is so agreed:</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meeting called as an annual general meeting, by all the Members entitled to attend and vote thereat; and</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other meeting, by a majority in number of the Members having the right to attend and vote and Present at the meeting, being a majority together holding not less than ninety-five per cent. (95%) in nominal value of the issued shares giving that right.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shall specify the time and place (which in the case of a Virtual Meeting, includes a virtual place) of the meeting and, in case of special business, the general nature of the business. The notice convening an annual general meeting shall specify the meeting as such. Notice of every general meeting shall be given to all Members other than to such Members as, under the provisions of these Articles or the terms of issue of the shares they hold, are not entitled to receive such notices from the Company, to all persons entitled to a share in consequence of the death or bankruptcy or winding-up of a Member and to each of the Directors.</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accidental omission to give Notice of a meeting or (in cases where instruments of proxy are sent out with the Notice) to send such instrument of proxy to, or the non-receipt of such Notice or such instrument of proxy by, any person entitled to receive such Notice shall not invalidate any resolution passed or the proceedings at that meeting.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PROCEEDINGS AT GENERAL MEETINGS</w:t>
      </w:r>
    </w:p>
    <w:p>
      <w:pPr>
        <w:spacing w:after="0" w:line="229" w:lineRule="exact"/>
        <w:rPr>
          <w:sz w:val="20"/>
          <w:szCs w:val="20"/>
          <w:color w:val="auto"/>
        </w:rPr>
      </w:pPr>
    </w:p>
    <w:p>
      <w:pPr>
        <w:ind w:left="1300" w:hanging="1292"/>
        <w:spacing w:after="0" w:line="282" w:lineRule="auto"/>
        <w:tabs>
          <w:tab w:leader="none" w:pos="6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(1)All business shall be deemed special that is transacted at an extraordinary general meeting, and also all business that is transacted at an annual general meeting, with the exception of:</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sanctioning of dividends;</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and adoption of the accounts and balance sheet and the reports of the Directors and Auditors and other documents required to be annexed to the balance sheet;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Directors.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other than the appointment of a chairman of a meeting shall be transacted at any general meeting unless a quorum is Present at the commencement of the business. At any general meeting of the Company, two (2) Members entitled to vote and Present by its duly authorised representative representing not less than one-third in nominal value of the total issued voting shares in the Company throughout the meeting shall form a quorum for all purposes.</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thirty (30) minutes (or such longer time not exceeding one hour as the chairman of the meeting may determine to wait) after the time appointed for the meeting a quorum is not Present, the meeting shall stand adjourned to the same day in the next week at the same time and place (which in the case of a Virtual Meeting, includes a virtual place) or to such time and place (which in the case of a Virtual Meeting, includes a virtual place) as the Board may determine. If at such adjourned meeting a quorum is not Present within half an hour from the time appointed for holding the meeting, the meeting shall be dissolved.</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Board shall preside as chairman at every general meeting. If at any meeting the chairman is not Present within fifteen minutes after the time appointed for holding the meeting, or is not willing to act as chairman, the Directors Present shall choose one of their number to act, or if one Director only is Present he shall preside as chairman if willing to act. If no Director is Present, or if each of the Directors Present declines to take the chair, or if the chairman chosen shall retire from the chair, the Members Present and entitled to vote shall elect one of their number to be chairman.</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may adjourn the meeting from time to time and from place to place, but no business shall be transacted at any adjourned meeting other than the business which might lawfully have been transacted at the meeting had the adjournment not taken place. When a meeting is adjourned for fourteen (14) days or more, at least seven (7) clear days’ notice of the adjourned meeting shall be given specifying the time and place (which in the case of a Virtual Meeting, includes a virtual place) of the adjourned meeting but it shall not be necessary to specify in such notice the nature of the business to be transacted at the adjourned meeting and the general nature of the business to be transacted. Save as aforesaid, it shall be unnecessary to give notice of an adjournment.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both"/>
        <w:ind w:left="66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amendment is proposed to any resolution under consideration but is in good faith ruled out of order by the chairman of the meeting, the proceedings on the substantive resolution shall not be invalidated by any error in such ruling. In the case of a resolution duly proposed as a special resolution, no amendment thereto (other than a mere clerical amendment to correct a patent error) may in any event be considered or voted upon.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VOTING</w:t>
      </w:r>
    </w:p>
    <w:p>
      <w:pPr>
        <w:spacing w:after="0" w:line="229" w:lineRule="exact"/>
        <w:rPr>
          <w:sz w:val="20"/>
          <w:szCs w:val="20"/>
          <w:color w:val="auto"/>
        </w:rPr>
      </w:pPr>
    </w:p>
    <w:p>
      <w:pPr>
        <w:jc w:val="both"/>
        <w:ind w:left="660" w:hanging="652"/>
        <w:spacing w:after="0" w:line="253"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or restrictions attached to any shares, at any general meeting (a) every Member Present shall have the right to speak; (b) on a show of hands every Member Present in any such manner shall have one vote; and (c) on a poll every Member Present in any such manner shall have one vote for every Share of which they are the holder, except where the Member is required, by the Hong Kong Listing Rules, to abstain from voting to approve the matter under consideration. Subject to any special rights or restrictions as to voting for the time being attached to any shares by or in accordance with these Articles, at any general meeting on a show of hands every Member Present shall have one vote and on a poll every Member Present shall have one vote for every fully paid share of which he is the holder but so that no amount paid up or credited as paid up on a share in advance of calls or instalments is treated for the foregoing purposes as paid up on the share. Notwithstanding anything contained in these Articles, where more than one proxy is appointed by a Member which is a clearing house or a central depository house (or its nominee(s)), each such proxy shall have one vote on a show of hands. A resolution put to the vote of a meeting shall be decided on a show of hands unless voting by way of a poll is required by the rules of the Designated Stock Exchange or (before or on the declaration of the result of the show of hands or on the withdrawal of any other demand for a poll) a poll is demanded:</w:t>
      </w:r>
    </w:p>
    <w:p>
      <w:pPr>
        <w:spacing w:after="0" w:line="19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chairman of such meeting;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 least three Members Present for the time being entitled to vote at the meeting;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Member or Members Present and representing not less than one tenth of the total voting rights of all Members having the right to vote at the meeting;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Member or Members Present and holding shares in the Company conferring a right to vote at the meeting being shares on which an aggregate sum has been paid up equal to not less than one tenth of the total sum paid up on all shares conferring that right;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1300" w:hanging="644"/>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the rules of the Designated Stock Exchange, by any Director or Directors who, individually or collectively, hold proxies in respect of shares representing five per cent. (5%) or more of the total voting rights at such meeting.</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 demand by a person as proxy for a Member or in the case of a Member being a corporation by its duly authorised representative shall be deemed to be the same as a demand by a Member.</w:t>
      </w:r>
    </w:p>
    <w:p>
      <w:pPr>
        <w:spacing w:after="0" w:line="162" w:lineRule="exact"/>
        <w:rPr>
          <w:sz w:val="20"/>
          <w:szCs w:val="20"/>
          <w:color w:val="auto"/>
        </w:rPr>
      </w:pPr>
    </w:p>
    <w:p>
      <w:pPr>
        <w:jc w:val="both"/>
        <w:ind w:left="660" w:hanging="652"/>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poll is duly demanded and the demand is not withdrawn, a declaration by the chairman that a resolution has been carried, or carried unanimously, or by a particular majority, or not carried by a particular majority, or lost, and an entry to that effect made in the minute book of the Company, shall be conclusive evidence of the facts without proof of the number or proportion of the votes recorded for or against the resolution.</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poll is duly demanded the result of the poll shall be deemed to be the resolution of the meeting at which the poll was demanded. The Company shall only be required to disclose the voting figures on a poll if such disclosure is required by the rules of the Designated Stock Exchange.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poll demanded on the election of a chairman, or on a question of adjournment, shall be taken forthwith. A poll demanded on any other question shall be taken in such manner (including the use of ballot or voting papers or tickets or by electronic voting) and either forthwith or at such time (being not later than thirty (30) days after the date of the demand) and place (which in the case of a Virtual Meeting, includes a virtual place) as the chairman directs. It shall not be necessary (unless the chairman otherwise directs) for notice to be given of a poll not taken immediately.</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 poll shall not prevent the continuance of a meeting or the transaction of any business other than the question on which the poll has been demanded, and, with the consent of the chairman, it may be withdrawn at any time before the close of the meeting or the taking of the poll, whichever is the earlier.</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votes may be given either personally or by proxy.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entitled to more than one vote on a poll need not use all his votes or cast all the votes he uses in the same way.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questions submitted to a meeting shall be decided by a simple majority of votes except where a greater majority is required by these Articles or by the Act. In the case of an equality of votes, whether on a show of hands or on a poll, the chairman of such meeting shall be entitled to a second or casting vote in addition to any other vote he may have.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left="660" w:hanging="652"/>
        <w:spacing w:after="0" w:line="258"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there are joint holders of any share any one of such joint holders may vote, either in person or by proxy, in respect of such share as if he were solely entitled thereto, but if more than one of such joint holders be Present at any meeting the vote of the senior holder who tenders a vote, whether in person or by proxy, shall be accepted to the exclusion of the votes of the other joint holders, and for this purpose seniority shall be determined by the order in which the names stand in the Register in respect of the joint holding. Several executors or administrators of a deceased Member in whose name any share stands shall for the purposes of this Article be deemed joint holders thereof.</w:t>
      </w:r>
    </w:p>
    <w:p>
      <w:pPr>
        <w:spacing w:after="0" w:line="183" w:lineRule="exact"/>
        <w:rPr>
          <w:rFonts w:ascii="Times New Roman" w:cs="Times New Roman" w:eastAsia="Times New Roman" w:hAnsi="Times New Roman"/>
          <w:sz w:val="18"/>
          <w:szCs w:val="18"/>
          <w:color w:val="auto"/>
        </w:rPr>
      </w:pPr>
    </w:p>
    <w:p>
      <w:pPr>
        <w:ind w:left="1300" w:hanging="1292"/>
        <w:spacing w:after="0" w:line="254" w:lineRule="auto"/>
        <w:tabs>
          <w:tab w:leader="none" w:pos="652"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(1)A Member who is a patient for any purpose relating to mental health or in respect of whom an order has been made by any court having jurisdiction for the protection or management of the affairs of persons incapable of managing their own affairs may vote, whether on a show of hands or on a poll, by his receiver, committee, </w:t>
      </w:r>
      <w:r>
        <w:rPr>
          <w:rFonts w:ascii="Times New Roman" w:cs="Times New Roman" w:eastAsia="Times New Roman" w:hAnsi="Times New Roman"/>
          <w:sz w:val="18"/>
          <w:szCs w:val="18"/>
          <w:i w:val="1"/>
          <w:iCs w:val="1"/>
          <w:color w:val="231F20"/>
        </w:rPr>
        <w:t>curator bonis</w:t>
      </w:r>
      <w:r>
        <w:rPr>
          <w:rFonts w:ascii="Times New Roman" w:cs="Times New Roman" w:eastAsia="Times New Roman" w:hAnsi="Times New Roman"/>
          <w:sz w:val="18"/>
          <w:szCs w:val="18"/>
          <w:color w:val="231F20"/>
        </w:rPr>
        <w:t xml:space="preserve"> or other person in the nature of a receiver, committee or </w:t>
      </w:r>
      <w:r>
        <w:rPr>
          <w:rFonts w:ascii="Times New Roman" w:cs="Times New Roman" w:eastAsia="Times New Roman" w:hAnsi="Times New Roman"/>
          <w:sz w:val="18"/>
          <w:szCs w:val="18"/>
          <w:i w:val="1"/>
          <w:iCs w:val="1"/>
          <w:color w:val="231F20"/>
        </w:rPr>
        <w:t>curator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bonis </w:t>
      </w:r>
      <w:r>
        <w:rPr>
          <w:rFonts w:ascii="Times New Roman" w:cs="Times New Roman" w:eastAsia="Times New Roman" w:hAnsi="Times New Roman"/>
          <w:sz w:val="18"/>
          <w:szCs w:val="18"/>
          <w:color w:val="231F20"/>
        </w:rPr>
        <w:t>appointed by such court, and such receiver, committee,</w:t>
      </w:r>
      <w:r>
        <w:rPr>
          <w:rFonts w:ascii="Times New Roman" w:cs="Times New Roman" w:eastAsia="Times New Roman" w:hAnsi="Times New Roman"/>
          <w:sz w:val="18"/>
          <w:szCs w:val="18"/>
          <w:i w:val="1"/>
          <w:iCs w:val="1"/>
          <w:color w:val="231F20"/>
        </w:rPr>
        <w:t xml:space="preserve"> curator bonis </w:t>
      </w:r>
      <w:r>
        <w:rPr>
          <w:rFonts w:ascii="Times New Roman" w:cs="Times New Roman" w:eastAsia="Times New Roman" w:hAnsi="Times New Roman"/>
          <w:sz w:val="18"/>
          <w:szCs w:val="18"/>
          <w:color w:val="231F20"/>
        </w:rPr>
        <w:t>or other person may vote on a poll by proxy, and may</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otherwise act and be treated as if he were the registered holder of such shares for the purposes of general meetings, provided that such evidence as the Board may require of the authority of the person claiming to vote shall have been deposited at the Office, head office or Registration Office, as appropriate, not less than forty-eight (48) hours before the time appointed for holding the meeting, or adjourned meeting or poll, as the case may be.</w:t>
      </w:r>
    </w:p>
    <w:p>
      <w:pPr>
        <w:spacing w:after="0" w:line="191" w:lineRule="exact"/>
        <w:rPr>
          <w:rFonts w:ascii="Times New Roman" w:cs="Times New Roman" w:eastAsia="Times New Roman" w:hAnsi="Times New Roman"/>
          <w:sz w:val="18"/>
          <w:szCs w:val="18"/>
          <w:color w:val="231F20"/>
        </w:rPr>
      </w:pPr>
    </w:p>
    <w:p>
      <w:pPr>
        <w:jc w:val="both"/>
        <w:ind w:left="1300" w:hanging="644"/>
        <w:spacing w:after="0" w:line="261" w:lineRule="auto"/>
        <w:tabs>
          <w:tab w:leader="none" w:pos="1300" w:val="left"/>
        </w:tabs>
        <w:numPr>
          <w:ilvl w:val="1"/>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person entitled under Article 54 to be registered as the holder of any shares may vote at any general meeting in respect thereof in the same manner as if he were the registered holder of such shares, provided that forty-eight (48) hours at least before the time of the holding of the meeting or adjourned meeting, as the case may be, at which he proposes to vote, he shall satisfy the Board of his entitlement to such shares, or the Board shall have previously admitted his right to vote at such meeting in respect thereof.</w:t>
      </w:r>
    </w:p>
    <w:p>
      <w:pPr>
        <w:spacing w:after="0" w:line="179" w:lineRule="exact"/>
        <w:rPr>
          <w:rFonts w:ascii="Times New Roman" w:cs="Times New Roman" w:eastAsia="Times New Roman" w:hAnsi="Times New Roman"/>
          <w:sz w:val="18"/>
          <w:szCs w:val="18"/>
          <w:color w:val="231F20"/>
        </w:rPr>
      </w:pPr>
    </w:p>
    <w:p>
      <w:pPr>
        <w:jc w:val="both"/>
        <w:ind w:left="660" w:hanging="652"/>
        <w:spacing w:after="0" w:line="258"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shall, unless the Board otherwise determines, be entitled to attend and vote and to be reckoned in a quorum at any general meeting unless he is duly registered and all calls or other sums presently payable by him in respect of shares in the Company have been paid. Where the Company has knowledge that any Member is, under the Hong Kong Listing Rules, required to abstain from voting on any particular resolution or restricted to voting only for or only against any particular resolution, any votes cast by or on behalf of such Member in contravention of such requirement or restriction shall not be counted.</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225"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objection shall be raised to the qualification of any voter; or</w:t>
      </w:r>
    </w:p>
    <w:p>
      <w:pPr>
        <w:spacing w:after="0" w:line="225" w:lineRule="exact"/>
        <w:rPr>
          <w:rFonts w:ascii="Times New Roman" w:cs="Times New Roman" w:eastAsia="Times New Roman" w:hAnsi="Times New Roman"/>
          <w:sz w:val="18"/>
          <w:szCs w:val="18"/>
          <w:color w:val="231F20"/>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votes have been counted which ought not to have been counted or which might have been rejected;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1300" w:hanging="644"/>
        <w:spacing w:after="0"/>
        <w:tabs>
          <w:tab w:leader="none" w:pos="1300" w:val="left"/>
        </w:tabs>
        <w:numPr>
          <w:ilvl w:val="0"/>
          <w:numId w:val="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votes are not counted which ought to have been counted;</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objection or error shall not vitiate the decision of the meeting or adjourned meeting on any resolution unless the same is raised or pointed out at the meeting or, as the case may be, the adjourned meeting at which the vote objected to is given or tendered or at which the error occurs. Any objection or error shall be referred to the chairman of the meeting and shall only vitiate the decision of the meeting on any resolution if the chairman decides that the same may have affected the decision of the meeting. The decision of the chairman on such matters shall be final and conclusive.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PROXIES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entitled to attend and vote at a meeting of the Company shall be entitled to appoint another person as his proxy to attend and vote instead of him and a proxy so appointed shall have the same right as the Member to speak at the meeting. A Member who is the holder of two or more shares may appoint more than one proxy to represent him and vote on his behalf at a general meeting of the Company or at a class meeting. A proxy need not be a Member. In addition, a proxy or proxies representing either a Member who is an individual or a Member which is a corporation shall be entitled to exercise the same powers on behalf of the Member which he or they represent as such Member could exercise.</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in writing under the hand of the appointor or of his attorney duly authorised in writing or, if the appointor is a corporation, either under its seal or under the hand of an officer, attorney or other person authorised to sign the same. In the case of an instrument of proxy purporting to be signed on behalf of a corporation by an officer thereof it shall be assumed, unless the contrary appears, that such officer was duly authorised to sign such instrument of proxy on behalf of the corporation without further evidence of the facts.</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and (if required by the Board) the power of attorney or other authority (if any) under which it is signed, or a certified copy of such power or authority, shall be delivered to such place or one of such places (if any) as may be specified for that purpose in or by way of note to or in any document accompanying the notice convening the meeting (or, if no place is so specified at the Registration Office or the Office, as may be appropriate) not less than forty-eight (48) hours before the time appointed for holding the meeting or adjourned meeting at which the person named in the instrument proposes to vote or, in the case of a poll taken subsequently to the date of a meeting or adjourned meeting, not less than twenty-four (24) hours before the time appointed for the taking of the poll and in default the instrument of proxy shall not be treated as valid. No instrument appointing a proxy shall be valid after the expiration of twelve (12) months from the date named in it as the date of its execution, except at an adjourned meeting or on a poll demanded at a meeting or an adjourned meeting in cases where the meeting was originally held within twelve (12) months from such date. Delivery of an instrument appointing a proxy shall not preclude a Member from attending and voting in person at the meeting convened and in such event, the instrument appointing a proxy shall be deemed to be revoked.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left="660" w:hanging="652"/>
        <w:spacing w:after="0" w:line="258"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of proxy shall be in any common form or in such other form as the Board may approve (provided that this shall not preclude the use of the two-way form) and the Board may, if it thinks fit, send out with the notice of any meeting forms of instrument of proxy for use at the meeting. The instrument of proxy shall be deemed to confer authority to demand or join in demanding a poll and to vote on any amendment of a resolution put to the meeting for which it is given as the proxy thinks fit. The instrument of proxy shall, unless the contrary is stated therein, be valid as well for any adjournment of the meeting as for the meeting to which it relates.</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given in accordance with the terms of an instrument of proxy shall be valid notwithstanding the previous death or insanity of the principal, or revocation of the instrument of proxy or of the authority under which it was executed, provided that no intimation in writing of such death, insanity or revocation shall have been received by the Company at the Office or the Registration Office (or such other place as may be specified for the delivery of instruments of proxy in the notice convening the meeting or other document sent therewith) two (2) hours at least before the commencement of the meeting or adjourned meeting, or the taking of the poll, at which the instrument of proxy is used.</w:t>
      </w:r>
    </w:p>
    <w:p>
      <w:pPr>
        <w:spacing w:after="0" w:line="183"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which under these Articles a Member may do by proxy he may likewise do by his duly appointed attorney and the provisions of these Articles relating to proxies and instruments appointing proxies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in relation to any such attorney and the instrument under which such attorney is appointed.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CORPORATIONS ACTING BY REPRESENTATIVES</w:t>
      </w:r>
    </w:p>
    <w:p>
      <w:pPr>
        <w:spacing w:after="0" w:line="229" w:lineRule="exact"/>
        <w:rPr>
          <w:sz w:val="20"/>
          <w:szCs w:val="20"/>
          <w:color w:val="auto"/>
        </w:rPr>
      </w:pPr>
    </w:p>
    <w:p>
      <w:pPr>
        <w:ind w:left="1300" w:hanging="1292"/>
        <w:spacing w:after="0" w:line="258" w:lineRule="auto"/>
        <w:tabs>
          <w:tab w:leader="none" w:pos="6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(1)Any corporation which is a Member may by resolution of its directors or other governing body authorise such person as it thinks fit to act as its representative at any meeting of the Company or at any meeting of any class of Members. The person so authorised shall be entitled to exercise the same powers on behalf of such corporation as the corporation could exercise if it were an individual Member and such corporation shall for the purposes of these Articles be deemed to be Present in person at any such meeting if a person so authorised is Present thereat.</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clearing house (or its nominee(s)) or a central depository entity, being a corporation, is a Member, it may authorise such persons as it thinks fit to act as its representatives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a central depository entity (or its nominee(s)) as if such person was the registered holder of the shares of the Company held by the clearing house or a central depository entity (or its nominee(s)) including the right to vote individually on a show of hands.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left="1292" w:hanging="644"/>
        <w:spacing w:after="0" w:line="258" w:lineRule="auto"/>
        <w:tabs>
          <w:tab w:leader="none" w:pos="129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HKSCC must be entitled to appoint proxies or corporate representatives to attend the Company’s general meetings and creditors meetings and those proxies or corporate representatives must enjoy rights equivalent to the rights of other Members, including the right to speak and vote. Where the Act prohibits HKSCC from appointing proxies or corporate representatives enjoying the rights described by this article, the Company must make the necessary arrangements with HKSCC to ensure that Hong Kong investors holding shares through HKSCC enjoy the right to vote, attend (in person or by proxy) and speak at general meetings.</w:t>
      </w:r>
    </w:p>
    <w:p>
      <w:pPr>
        <w:spacing w:after="0" w:line="183"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these Articles to a duly authorised representative of a Member being a corporation shall mean a representative authorised under the provisions of this Article.</w:t>
      </w:r>
    </w:p>
    <w:p>
      <w:pPr>
        <w:spacing w:after="0" w:line="15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NO ACTION BY WRITTEN RESOLUTIONS OF MEMBERS</w:t>
      </w:r>
    </w:p>
    <w:p>
      <w:pPr>
        <w:spacing w:after="0" w:line="229" w:lineRule="exact"/>
        <w:rPr>
          <w:sz w:val="20"/>
          <w:szCs w:val="20"/>
          <w:color w:val="auto"/>
        </w:rPr>
      </w:pPr>
    </w:p>
    <w:p>
      <w:pPr>
        <w:jc w:val="both"/>
        <w:ind w:left="652" w:hanging="652"/>
        <w:spacing w:after="0" w:line="266" w:lineRule="auto"/>
        <w:tabs>
          <w:tab w:leader="none" w:pos="6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required or permitted to be taken at any annual or extraordinary general meetings of the Company may be taken only upon the vote of the Members at an annual or extraordinary general meeting duly noticed and convened in accordance with these Articles and the Act and may not be taken by written resolution of Members without a meeting.</w:t>
      </w:r>
    </w:p>
    <w:p>
      <w:pPr>
        <w:spacing w:after="0" w:line="17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BOARD OF DIRECTORS</w:t>
      </w:r>
    </w:p>
    <w:p>
      <w:pPr>
        <w:spacing w:after="0" w:line="229" w:lineRule="exact"/>
        <w:rPr>
          <w:sz w:val="20"/>
          <w:szCs w:val="20"/>
          <w:color w:val="auto"/>
        </w:rPr>
      </w:pPr>
    </w:p>
    <w:p>
      <w:pPr>
        <w:ind w:left="1292" w:hanging="1292"/>
        <w:spacing w:after="0" w:line="261"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(1)Unless otherwise determined by the Company in general meeting, the number of Directors shall not be less than two (2). There shall be no maximum number of Directors unless otherwise determined from time to time by the Board. The Directors shall be elected or appointed in the first place by the subscribers to the Memorandum of Association or by a majority of them and thereafter in accordance with Article 87 and 88 and shall hold office until the expiration of his term or until their successors are elected or appointed.</w:t>
      </w:r>
    </w:p>
    <w:p>
      <w:pPr>
        <w:spacing w:after="0" w:line="179"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Articles and the Act, the Company may by ordinary resolution elect any person to be a Director either to fill a casual vacancy or as an addition to the existing Board.</w:t>
      </w:r>
    </w:p>
    <w:p>
      <w:pPr>
        <w:spacing w:after="0" w:line="161"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have the power from time to time and at any time to appoint any person as a Director to fill a casual vacancy on the Board or as an addition to the existing Board. Any Director so appointed by the Board shall hold office only until the next following annual general meeting of the Company and shall then be eligible for re-election.</w:t>
      </w:r>
    </w:p>
    <w:p>
      <w:pPr>
        <w:spacing w:after="0" w:line="175"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shall be required to hold any shares of the Company by way of qualification and a Director who is not a Member shall be entitled to receive notice of and to attend and speak at any general meeting of the Company and of all classes of shares of the Company.</w:t>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40" w:name="page41"/>
    <w:bookmarkEnd w:id="40"/>
    <w:p>
      <w:pPr>
        <w:jc w:val="both"/>
        <w:ind w:left="1300" w:hanging="644"/>
        <w:spacing w:after="0" w:line="266"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(including a managing or other executive director) may be removed by way of an ordinary resolution of the Members at any time before the expiration of his term of office notwithstanding anything in these Articles or in any agreement between the Company and such Director (but without prejudice to any claim for damages under any such agreement).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vacancy on the Board created by the removal of a Director under the provisions of subparagraph (5) above may be filled by the election or appointment by ordinary resolution of the Members at the meeting at which such Director is removed or by the affirmative vote of a simple majority of the remaining Directors present and voting at a Board meeting.</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in general meeting by ordinary resolution increase or reduce the number of Directors but so that the number of Directors shall never be less than two (2).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DISQUALIFICATION OF DIRECTORS</w:t>
      </w:r>
    </w:p>
    <w:p>
      <w:pPr>
        <w:spacing w:after="0" w:line="229"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a Director shall be vacated if the Director: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resigns his office by notice in writing delivered to the Company at the Office or tendered at a meeting of the Board;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of unsound mind or dies;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special leave of absence from the Board, is absent from meetings of the Board for three consecutive meetings and the Board resolves that his office be vacated;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bankrupt or has a receiving order made against him or suspends payment or compounds with his creditors;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prohibited by law from being a Director;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ceases to be a Director by virtue of any provision of the Statutes or is removed from office pursuant to these Articles.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31F20"/>
        </w:rPr>
        <w:t>EXECUTIVE DIRECTORS</w:t>
      </w:r>
    </w:p>
    <w:p>
      <w:pPr>
        <w:spacing w:after="0" w:line="229" w:lineRule="exact"/>
        <w:rPr>
          <w:sz w:val="20"/>
          <w:szCs w:val="20"/>
          <w:color w:val="auto"/>
        </w:rPr>
      </w:pPr>
    </w:p>
    <w:p>
      <w:pPr>
        <w:jc w:val="both"/>
        <w:ind w:left="660" w:hanging="652"/>
        <w:spacing w:after="0" w:line="255" w:lineRule="auto"/>
        <w:tabs>
          <w:tab w:leader="none" w:pos="660"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from time to time appoint any one or more of its body to be a managing director, joint managing director or deputy managing director or to hold any other employment or executive office with the Company for such period (subject to their continuance as Directors) and upon such terms as the Board may determine and the Board may revoke or terminate any of such appointments. Any such revocation or termination as aforesaid shall be without prejudice to any claim for damages that such Director may have against the Company or the Company may have against such Director. A Director appointed to an office under this Article 91 shall be subject to the same provisions as to removal as the other Directors of the Company, and he shall (subject to the provisions of any contract between him and the Company) ipso facto and immediately cease to hold such office if he shall cease to hold the office of Director for any cause.</w:t>
      </w:r>
    </w:p>
    <w:p>
      <w:pPr>
        <w:spacing w:after="0" w:line="188" w:lineRule="exact"/>
        <w:rPr>
          <w:rFonts w:ascii="Times New Roman" w:cs="Times New Roman" w:eastAsia="Times New Roman" w:hAnsi="Times New Roman"/>
          <w:sz w:val="18"/>
          <w:szCs w:val="18"/>
          <w:color w:val="231F20"/>
        </w:rPr>
      </w:pPr>
    </w:p>
    <w:p>
      <w:pPr>
        <w:jc w:val="both"/>
        <w:ind w:left="660" w:hanging="652"/>
        <w:spacing w:after="0" w:line="261" w:lineRule="auto"/>
        <w:tabs>
          <w:tab w:leader="none" w:pos="660"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Notwithstanding Articles 95, 96, 97 and 98, an executive director appointed to an office under Article 89 hereof shall receive such remuneration (whether by way of salary, commission, participation in profits or otherwise or by all or any of those modes) and such other benefits (including pension and/or gratuity and/or other benefits on retirement) and allowances as the Board may from time to time determine, and either in addition to or in lieu of his remuneration as a Director.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231F20"/>
        </w:rPr>
        <w:t>ALTERNATE DIRECTORS</w:t>
      </w:r>
    </w:p>
    <w:p>
      <w:pPr>
        <w:spacing w:after="0" w:line="229" w:lineRule="exact"/>
        <w:rPr>
          <w:sz w:val="20"/>
          <w:szCs w:val="20"/>
          <w:color w:val="auto"/>
        </w:rPr>
      </w:pPr>
    </w:p>
    <w:p>
      <w:pPr>
        <w:jc w:val="both"/>
        <w:ind w:left="660" w:hanging="652"/>
        <w:spacing w:after="0" w:line="269" w:lineRule="auto"/>
        <w:tabs>
          <w:tab w:leader="none" w:pos="660" w:val="left"/>
        </w:tabs>
        <w:numPr>
          <w:ilvl w:val="0"/>
          <w:numId w:val="6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Any Director may at any time by Notice delivered to the Office or head office or at a meeting of the Directors appoint any person (including another Director) to be his alternate Director. Any person so appointed shall have all the rights and powers of the Director or Directors for whom such person is appointed in the alternative provided that such person shall not be counted more than once in determining whether or not a quorum is present. An alternate Director may be removed at any time by the body which appointed him and, subject thereto, the office of alternate Director shall continue until the happening of any event which, if he were a Director, would cause him to vacate such office or if his appointer ceases for any reason to be a Director. Any appointment or removal of an alternate Director shall be effected by Notice signed by the appointor and delivered to the Office or head office or tendered at a meeting of the Board. An alternate Director may also be a Director in his own right and may act as alternate to more than one Director. An alternate Director shall, if his appointor so requests, be entitled to receive notices of meetings of the Board or of committees of the Board to the same extent as, but in lieu of, the Director appointing him and shall be entitled to such extent to attend and vote as a Director at any such meeting at which the Director appointing him is not personally present and generally at such meeting to exercise and discharge all the functions, powers and duties of his appointor as a Director and for the purposes of the proceedings at such meeting the provisions of these Articles shall apply as if he were a Director save that as an alternate for more than one Director his voting rights shall be cumulative.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2" w:name="page43"/>
    <w:bookmarkEnd w:id="42"/>
    <w:p>
      <w:pPr>
        <w:jc w:val="both"/>
        <w:ind w:left="660" w:hanging="652"/>
        <w:spacing w:after="0" w:line="255" w:lineRule="auto"/>
        <w:tabs>
          <w:tab w:leader="none" w:pos="66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An alternate Director shall only be a Director for the purposes of the Act and shall only be subject to the provisions of the Act insofar as they relate to the duties and obligations of a Director when performing the functions of the Director for whom he is appointed in the alternative and shall alone be responsible to the Company for his acts and defaults and shall not be deemed to be the agent of or for the Director appointing him. An alternate Director shall be entitled to contract and be interested in and benefit from contracts or arrangements or transactions and to be repaid expenses and to be indemnified by the Company to the same extent </w:t>
      </w:r>
      <w:r>
        <w:rPr>
          <w:rFonts w:ascii="Times New Roman" w:cs="Times New Roman" w:eastAsia="Times New Roman" w:hAnsi="Times New Roman"/>
          <w:sz w:val="18"/>
          <w:szCs w:val="18"/>
          <w:i w:val="1"/>
          <w:iCs w:val="1"/>
          <w:color w:val="231F20"/>
        </w:rPr>
        <w:t>mutatis mutandis</w:t>
      </w:r>
      <w:r>
        <w:rPr>
          <w:rFonts w:ascii="Times New Roman" w:cs="Times New Roman" w:eastAsia="Times New Roman" w:hAnsi="Times New Roman"/>
          <w:sz w:val="18"/>
          <w:szCs w:val="18"/>
          <w:color w:val="231F20"/>
        </w:rPr>
        <w:t xml:space="preserve"> as if he were a Director but he shall not be entitled to receive from the Company any fee in his capacity as an alternate Director except only such part, if any, of the remuneration otherwise payable to his appointor as such appointor may by Notice to the Company from time to time direct.</w:t>
      </w:r>
    </w:p>
    <w:p>
      <w:pPr>
        <w:spacing w:after="0" w:line="188" w:lineRule="exact"/>
        <w:rPr>
          <w:rFonts w:ascii="Times New Roman" w:cs="Times New Roman" w:eastAsia="Times New Roman" w:hAnsi="Times New Roman"/>
          <w:sz w:val="18"/>
          <w:szCs w:val="18"/>
          <w:color w:val="231F20"/>
        </w:rPr>
      </w:pPr>
    </w:p>
    <w:p>
      <w:pPr>
        <w:jc w:val="both"/>
        <w:ind w:left="660" w:hanging="652"/>
        <w:spacing w:after="0" w:line="261" w:lineRule="auto"/>
        <w:tabs>
          <w:tab w:leader="none" w:pos="66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Every person acting as an alternate Director shall have one vote for each Director for whom he acts as alternate (in addition to his own vote if he is also a Director). If his appointor is for the time being absent from the People’s Republic of China or otherwise not available or unable to act, the signature of an alternate Director to any resolution in writing of the Board or a committee of the Board of which his appointor is a member shall, unless the notice of his appointment provides to the contrary, be as effective as the signature of his appointor.</w:t>
      </w:r>
    </w:p>
    <w:p>
      <w:pPr>
        <w:spacing w:after="0" w:line="179" w:lineRule="exact"/>
        <w:rPr>
          <w:rFonts w:ascii="Times New Roman" w:cs="Times New Roman" w:eastAsia="Times New Roman" w:hAnsi="Times New Roman"/>
          <w:sz w:val="18"/>
          <w:szCs w:val="18"/>
          <w:color w:val="231F20"/>
        </w:rPr>
      </w:pPr>
    </w:p>
    <w:p>
      <w:pPr>
        <w:jc w:val="both"/>
        <w:ind w:left="660" w:hanging="652"/>
        <w:spacing w:after="0" w:line="261" w:lineRule="auto"/>
        <w:tabs>
          <w:tab w:leader="none" w:pos="660" w:val="left"/>
        </w:tabs>
        <w:numPr>
          <w:ilvl w:val="0"/>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alternate Director shall ipso facto cease to be an alternate Director if his appointor ceases for any reason to be a Director, however, such alternate Director or any other person may be re-appointed by the Directors to serve as an alternate Director PROVIDED always that, if at any meeting any Director retires but is re-elected at the same meeting, any appointment of such alternate Director pursuant to these Articles which was in force immediately before his retirement shall remain in force as though he had not retired.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31F20"/>
        </w:rPr>
        <w:t>DIRECTORS’ FEES AND EXPENSES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Directors shall receive such remuneration as the Board may from time to time determine. Each Director shall be entitled to be repaid or prepaid all traveling, hotel and incidental expenses reasonably incurred or expected to be incurred by him in attending meetings of the Board or committees of the board or general meetings or separate meetings of any class of shares or of debenture of the Company or otherwise in connection with the discharge of his duties as a Director.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left="660" w:hanging="652"/>
        <w:spacing w:after="0" w:line="261" w:lineRule="auto"/>
        <w:tabs>
          <w:tab w:leader="none" w:pos="660" w:val="left"/>
        </w:tabs>
        <w:numPr>
          <w:ilvl w:val="0"/>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Director who, by request, goes or resides abroad for any purpose of the Company or who performs services which in the opinion of the Board go beyond the ordinary duties of a Director may be paid such extra remuneration (whether by way of salary, commission, participation in profits or otherwise) as the Board may determine and such extra remuneration shall be in addition to or in substitution for any ordinary remuneration provided for by or pursuant to any other Article.</w:t>
      </w:r>
    </w:p>
    <w:p>
      <w:pPr>
        <w:spacing w:after="0" w:line="179" w:lineRule="exact"/>
        <w:rPr>
          <w:rFonts w:ascii="Times New Roman" w:cs="Times New Roman" w:eastAsia="Times New Roman" w:hAnsi="Times New Roman"/>
          <w:sz w:val="18"/>
          <w:szCs w:val="18"/>
          <w:color w:val="231F20"/>
        </w:rPr>
      </w:pPr>
    </w:p>
    <w:p>
      <w:pPr>
        <w:ind w:left="660" w:hanging="652"/>
        <w:spacing w:after="0" w:line="282" w:lineRule="auto"/>
        <w:tabs>
          <w:tab w:leader="none" w:pos="660" w:val="left"/>
        </w:tabs>
        <w:numPr>
          <w:ilvl w:val="0"/>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determine any payment to any Director or past Director of the Company by way of compensation for loss of office, or as consideration for or in connection with his retirement from office (not being payment to which the Director is contractually entitled).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31F20"/>
        </w:rPr>
        <w:t>DIRECTORS’ INTERESTS</w:t>
      </w:r>
    </w:p>
    <w:p>
      <w:pPr>
        <w:spacing w:after="0" w:line="229"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Director may:</w:t>
      </w:r>
    </w:p>
    <w:p>
      <w:pPr>
        <w:spacing w:after="0" w:line="225" w:lineRule="exact"/>
        <w:rPr>
          <w:rFonts w:ascii="Times New Roman" w:cs="Times New Roman" w:eastAsia="Times New Roman" w:hAnsi="Times New Roman"/>
          <w:sz w:val="18"/>
          <w:szCs w:val="18"/>
          <w:color w:val="231F20"/>
        </w:rPr>
      </w:pPr>
    </w:p>
    <w:p>
      <w:pPr>
        <w:jc w:val="both"/>
        <w:ind w:left="1300" w:hanging="644"/>
        <w:spacing w:after="0" w:line="261" w:lineRule="auto"/>
        <w:tabs>
          <w:tab w:leader="none" w:pos="1300" w:val="left"/>
        </w:tabs>
        <w:numPr>
          <w:ilvl w:val="1"/>
          <w:numId w:val="6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hold any other office or place of profit with the Company (except that of Auditor) in conjunction with his office of Director for such period and upon such terms as the Board may determine. Any remuneration (whether by way of salary, commission, participation in profits or otherwise) paid to any Director in respect of any such other office or place of profit shall be in addition to any remuneration provided for by or pursuant to any other Article;</w:t>
      </w:r>
    </w:p>
    <w:p>
      <w:pPr>
        <w:spacing w:after="0" w:line="179" w:lineRule="exact"/>
        <w:rPr>
          <w:rFonts w:ascii="Times New Roman" w:cs="Times New Roman" w:eastAsia="Times New Roman" w:hAnsi="Times New Roman"/>
          <w:sz w:val="18"/>
          <w:szCs w:val="18"/>
          <w:color w:val="231F20"/>
        </w:rPr>
      </w:pPr>
    </w:p>
    <w:p>
      <w:pPr>
        <w:ind w:left="1300" w:hanging="644"/>
        <w:spacing w:after="0" w:line="282" w:lineRule="auto"/>
        <w:tabs>
          <w:tab w:leader="none" w:pos="1300" w:val="left"/>
        </w:tabs>
        <w:numPr>
          <w:ilvl w:val="1"/>
          <w:numId w:val="6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 by himself or his firm in a professional capacity for the Company (otherwise than as Auditor) and he or his firm may be remunerated for professional services as if he were not a Director;</w:t>
      </w:r>
    </w:p>
    <w:p>
      <w:pPr>
        <w:spacing w:after="0" w:line="161" w:lineRule="exact"/>
        <w:rPr>
          <w:rFonts w:ascii="Times New Roman" w:cs="Times New Roman" w:eastAsia="Times New Roman" w:hAnsi="Times New Roman"/>
          <w:sz w:val="18"/>
          <w:szCs w:val="18"/>
          <w:color w:val="231F20"/>
        </w:rPr>
      </w:pPr>
    </w:p>
    <w:p>
      <w:pPr>
        <w:jc w:val="both"/>
        <w:ind w:left="1300" w:hanging="644"/>
        <w:spacing w:after="0" w:line="252" w:lineRule="auto"/>
        <w:tabs>
          <w:tab w:leader="none" w:pos="1300" w:val="left"/>
        </w:tabs>
        <w:numPr>
          <w:ilvl w:val="1"/>
          <w:numId w:val="6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to be or become a director, managing director, joint managing director, deputy managing director, executive director, manager or other officer or member of any other company promoted by the Company or in which the Company may be interested as a vendor, shareholder or otherwise and (unless otherwise agreed) no such Director shall be accountable for any remuneration, profits or other benefits received by him as a director, managing director, joint managing director, deputy managing director, executive director, manager or other officer or member of or from his interests in any such other company. Subject as otherwise provided by these Articles the Directors may exercise or cause to be exercised the voting powers conferred by the shares in any other company held or owned by the Company, or exercisable by them as Directors of such other company in such manner in all respects as they think fit (including the exercise thereof in favour of any resolution appointing themselves or any of them directors, managing directors, joint managing directors, deputy managing directors, executive directors, managers or other officers of such company) or voting or providing for the payment of remuneration to the director, managing director, joint managing director, deputy managing director, executive director, manager or other officers of such other company and any Director may vote in favour of the exercise of such voting rights in manner aforesaid notwithstanding that he may be, or about to be, appointed a director, managing director, joint managing director, deputy managing director, executive director, manager or other officer of such a company, and that as such he is or may become interested in the exercise of such voting rights in manner aforesaid.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left="652"/>
        <w:spacing w:after="0" w:line="258" w:lineRule="auto"/>
        <w:rPr>
          <w:sz w:val="20"/>
          <w:szCs w:val="20"/>
          <w:color w:val="auto"/>
        </w:rPr>
      </w:pPr>
      <w:r>
        <w:rPr>
          <w:rFonts w:ascii="Times New Roman" w:cs="Times New Roman" w:eastAsia="Times New Roman" w:hAnsi="Times New Roman"/>
          <w:sz w:val="18"/>
          <w:szCs w:val="18"/>
          <w:color w:val="231F20"/>
        </w:rPr>
        <w:t>Notwithstanding the foregoing, no independent non-executive director, who shall serve as “Independent Director” as defined in the applicable rules of the Designated Stock Exchange or in Rule 10A-3 under the Exchange Act, and with respect of whom the Board has determined constitutes an “Independent Director” for purposes of compliance with applicable law or the rules of the Designated Stock Exchange, shall without the consent of the Audit Committee take any of the foregoing actions or any other action that would reasonably be likely to affect such Director’s status as an “Independent Director” of the Company.</w:t>
      </w:r>
    </w:p>
    <w:p>
      <w:pPr>
        <w:spacing w:after="0" w:line="183" w:lineRule="exact"/>
        <w:rPr>
          <w:sz w:val="20"/>
          <w:szCs w:val="20"/>
          <w:color w:val="auto"/>
        </w:rPr>
      </w:pPr>
    </w:p>
    <w:p>
      <w:pPr>
        <w:jc w:val="both"/>
        <w:ind w:left="652" w:hanging="652"/>
        <w:spacing w:after="0" w:line="254" w:lineRule="auto"/>
        <w:tabs>
          <w:tab w:leader="none" w:pos="652" w:val="left"/>
        </w:tabs>
        <w:numPr>
          <w:ilvl w:val="0"/>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the Act and to these Articles, no Director or proposed or intending Director shall be disqualified by his office from contracting with the Company, either with regard to his tenure of any office or place of profit or as vendor, purchaser or in any other manner whatsoever, nor shall any such contract or any other contract or arrangement in which any Director is in any way interested be liable to be avoided, nor shall any Director so contracting or being so interested be liable to account to the Company or the Members for any remuneration, profit or other benefits realised by any such contract or arrangement by reason of such Director holding that office or of the fiduciary relationship thereby established provided that such Director shall disclose the nature of his interest in any contract or arrangement in which he is interested in accordance with Article 103 herein. Any such transaction that would reasonably be likely to affect a Director’s status as an “Independent Director”, or that would constitute a “related party transaction” as defined by the applicable rules of the Designated Stock Exchange or under applicable laws, shall require the approval of the Audit Committee.</w:t>
      </w:r>
    </w:p>
    <w:p>
      <w:pPr>
        <w:spacing w:after="0" w:line="188" w:lineRule="exact"/>
        <w:rPr>
          <w:rFonts w:ascii="Times New Roman" w:cs="Times New Roman" w:eastAsia="Times New Roman" w:hAnsi="Times New Roman"/>
          <w:sz w:val="18"/>
          <w:szCs w:val="18"/>
          <w:color w:val="231F20"/>
        </w:rPr>
      </w:pPr>
    </w:p>
    <w:p>
      <w:pPr>
        <w:jc w:val="both"/>
        <w:ind w:left="652" w:hanging="652"/>
        <w:spacing w:after="0" w:line="261" w:lineRule="auto"/>
        <w:tabs>
          <w:tab w:leader="none" w:pos="652" w:val="left"/>
        </w:tabs>
        <w:numPr>
          <w:ilvl w:val="0"/>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Director who to his knowledge is in any way, whether directly or indirectly, interested in a contract or arrangement or proposed contract or arrangement with the Company shall declare the nature of his interest at the meeting of the Board at which the question of entering into the contract or arrangement is first considered, if he knows his interest then exists, or in any other case at the first meeting of the Board after he knows that he is or has become so interested. For the purposes of this Article, a general Notice to the Board by a Director to the effect that:</w:t>
      </w:r>
    </w:p>
    <w:p>
      <w:pPr>
        <w:spacing w:after="0" w:line="179" w:lineRule="exact"/>
        <w:rPr>
          <w:rFonts w:ascii="Times New Roman" w:cs="Times New Roman" w:eastAsia="Times New Roman" w:hAnsi="Times New Roman"/>
          <w:sz w:val="18"/>
          <w:szCs w:val="18"/>
          <w:color w:val="231F20"/>
        </w:rPr>
      </w:pPr>
    </w:p>
    <w:p>
      <w:pPr>
        <w:ind w:left="1292" w:right="20" w:hanging="644"/>
        <w:spacing w:after="0" w:line="282" w:lineRule="auto"/>
        <w:tabs>
          <w:tab w:leader="none" w:pos="1292" w:val="left"/>
        </w:tabs>
        <w:numPr>
          <w:ilvl w:val="1"/>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he is a member or officer of a specified company or firm and is to be regarded as interested in any contract or arrangement which may after the date of the Notice be made with that company or firm; or</w:t>
      </w:r>
    </w:p>
    <w:p>
      <w:pPr>
        <w:spacing w:after="0" w:line="161" w:lineRule="exact"/>
        <w:rPr>
          <w:rFonts w:ascii="Times New Roman" w:cs="Times New Roman" w:eastAsia="Times New Roman" w:hAnsi="Times New Roman"/>
          <w:sz w:val="18"/>
          <w:szCs w:val="18"/>
          <w:color w:val="231F20"/>
        </w:rPr>
      </w:pPr>
    </w:p>
    <w:p>
      <w:pPr>
        <w:ind w:left="1292" w:hanging="644"/>
        <w:spacing w:after="0" w:line="282" w:lineRule="auto"/>
        <w:tabs>
          <w:tab w:leader="none" w:pos="1292" w:val="left"/>
        </w:tabs>
        <w:numPr>
          <w:ilvl w:val="1"/>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he is to be regarded as interested in any contract or arrangement which may after the date of the Notice be made with a specified person who is connected with him;</w:t>
      </w:r>
    </w:p>
    <w:p>
      <w:pPr>
        <w:spacing w:after="0" w:line="162"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231F20"/>
        </w:rPr>
        <w:t>shall be deemed to be a sufficient declaration of interest under this Article in relation to any such contract or arrangement, provided that no such Notice shall be effective unless either it is given at a meeting of the Board or the Director takes reasonable steps to secure that it is brought up and read at the next Board meeting after it is given.</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45" w:name="page46"/>
    <w:bookmarkEnd w:id="45"/>
    <w:p>
      <w:pPr>
        <w:jc w:val="both"/>
        <w:ind w:left="660" w:hanging="652"/>
        <w:spacing w:after="0" w:line="261" w:lineRule="auto"/>
        <w:tabs>
          <w:tab w:leader="none" w:pos="660" w:val="left"/>
        </w:tabs>
        <w:numPr>
          <w:ilvl w:val="0"/>
          <w:numId w:val="6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Following a declaration being made pursuant to the last preceding two Articles, subject to any separate requirement for Audit Committee approval under applicable law or the listing rules of the Company’s Designated Stock Exchange, and unless disqualified by the chairman of the relevant Board meeting, a Director may vote in respect of any contract or proposed contract or arrangement in which such Director is interested and may be counted in the quorum at such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31F20"/>
        </w:rPr>
        <w:t>GENERAL POWERS OF THE DIRECTORS</w:t>
      </w:r>
    </w:p>
    <w:p>
      <w:pPr>
        <w:spacing w:after="0" w:line="229" w:lineRule="exact"/>
        <w:rPr>
          <w:sz w:val="20"/>
          <w:szCs w:val="20"/>
          <w:color w:val="auto"/>
        </w:rPr>
      </w:pPr>
    </w:p>
    <w:p>
      <w:pPr>
        <w:ind w:left="1300" w:hanging="1292"/>
        <w:spacing w:after="0" w:line="255" w:lineRule="auto"/>
        <w:tabs>
          <w:tab w:leader="none" w:pos="652"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(1)The business of the Company shall be managed and conducted by the Board, which may pay all expenses incurred in forming and registering the Company and may exercise all powers of the Company (whether relating to the management of the business of the Company or otherwise) which are not by the Statutes or by these Articles required to be exercised by the Company in general meeting, subject nevertheless to the provisions of the Statutes and of these Articles and to such regulations being not inconsistent with such provisions, as may be prescribed by the Company in general meeting, but no regulations made by the Company in general meeting shall invalidate any prior act of the Board which would have been valid if such regulations had not been made. The general powers given by this Article shall not be limited or restricted by any special authority or power given to the Board by any other Article.</w:t>
      </w:r>
    </w:p>
    <w:p>
      <w:pPr>
        <w:spacing w:after="0" w:line="188" w:lineRule="exact"/>
        <w:rPr>
          <w:rFonts w:ascii="Times New Roman" w:cs="Times New Roman" w:eastAsia="Times New Roman" w:hAnsi="Times New Roman"/>
          <w:sz w:val="18"/>
          <w:szCs w:val="18"/>
          <w:color w:val="231F20"/>
        </w:rPr>
      </w:pPr>
    </w:p>
    <w:p>
      <w:pPr>
        <w:jc w:val="both"/>
        <w:ind w:left="1300" w:hanging="644"/>
        <w:spacing w:after="0" w:line="261" w:lineRule="auto"/>
        <w:tabs>
          <w:tab w:leader="none" w:pos="1300" w:val="left"/>
        </w:tabs>
        <w:numPr>
          <w:ilvl w:val="1"/>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person contracting or dealing with the Company in the ordinary course of business shall be entitled to rely on any written or oral contract or agreement or deed, document or instrument entered into or executed as the case may be by any one Director on behalf of the Company and the same shall be deemed to be validly entered into or executed by the Company as the case may be and shall, subject to any rule of law, be binding on the Company.</w:t>
      </w:r>
    </w:p>
    <w:p>
      <w:pPr>
        <w:spacing w:after="0" w:line="179" w:lineRule="exact"/>
        <w:rPr>
          <w:rFonts w:ascii="Times New Roman" w:cs="Times New Roman" w:eastAsia="Times New Roman" w:hAnsi="Times New Roman"/>
          <w:sz w:val="18"/>
          <w:szCs w:val="18"/>
          <w:color w:val="231F20"/>
        </w:rPr>
      </w:pPr>
    </w:p>
    <w:p>
      <w:pPr>
        <w:ind w:left="1300" w:right="20" w:hanging="644"/>
        <w:spacing w:after="0" w:line="282" w:lineRule="auto"/>
        <w:tabs>
          <w:tab w:leader="none" w:pos="1300" w:val="left"/>
        </w:tabs>
        <w:numPr>
          <w:ilvl w:val="1"/>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Without prejudice to the general powers conferred by these Articles it is hereby expressly declared that the Board shall have the following powers:</w:t>
      </w:r>
    </w:p>
    <w:p>
      <w:pPr>
        <w:spacing w:after="0" w:line="161" w:lineRule="exact"/>
        <w:rPr>
          <w:rFonts w:ascii="Times New Roman" w:cs="Times New Roman" w:eastAsia="Times New Roman" w:hAnsi="Times New Roman"/>
          <w:sz w:val="18"/>
          <w:szCs w:val="18"/>
          <w:color w:val="231F20"/>
        </w:rPr>
      </w:pPr>
    </w:p>
    <w:p>
      <w:pPr>
        <w:ind w:left="1960" w:hanging="656"/>
        <w:spacing w:after="0" w:line="282" w:lineRule="auto"/>
        <w:tabs>
          <w:tab w:leader="none" w:pos="1960" w:val="left"/>
        </w:tabs>
        <w:numPr>
          <w:ilvl w:val="2"/>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give to any person the right or option of requiring at a future date that an allotment shall be made to him of any share at par or at such premium as may be agreed;</w:t>
      </w:r>
    </w:p>
    <w:p>
      <w:pPr>
        <w:spacing w:after="0" w:line="161" w:lineRule="exact"/>
        <w:rPr>
          <w:rFonts w:ascii="Times New Roman" w:cs="Times New Roman" w:eastAsia="Times New Roman" w:hAnsi="Times New Roman"/>
          <w:sz w:val="18"/>
          <w:szCs w:val="18"/>
          <w:color w:val="231F20"/>
        </w:rPr>
      </w:pPr>
    </w:p>
    <w:p>
      <w:pPr>
        <w:jc w:val="both"/>
        <w:ind w:left="1960" w:hanging="656"/>
        <w:spacing w:after="0" w:line="266" w:lineRule="auto"/>
        <w:tabs>
          <w:tab w:leader="none" w:pos="1960" w:val="left"/>
        </w:tabs>
        <w:numPr>
          <w:ilvl w:val="2"/>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give to any Directors, officers or employees of the Company an interest in any particular business or transaction or participation in the profits thereof or in the general profits of the Company either in addition to or in substitution for a salary or other remuneration; and</w:t>
      </w:r>
    </w:p>
    <w:p>
      <w:pPr>
        <w:spacing w:after="0" w:line="175" w:lineRule="exact"/>
        <w:rPr>
          <w:rFonts w:ascii="Times New Roman" w:cs="Times New Roman" w:eastAsia="Times New Roman" w:hAnsi="Times New Roman"/>
          <w:sz w:val="18"/>
          <w:szCs w:val="18"/>
          <w:color w:val="231F20"/>
        </w:rPr>
      </w:pPr>
    </w:p>
    <w:p>
      <w:pPr>
        <w:ind w:left="1960" w:hanging="656"/>
        <w:spacing w:after="0" w:line="282" w:lineRule="auto"/>
        <w:tabs>
          <w:tab w:leader="none" w:pos="1960" w:val="left"/>
        </w:tabs>
        <w:numPr>
          <w:ilvl w:val="2"/>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resolve that the Company be deregistered in the Cayman Islands and continued in a named jurisdiction outside the Cayman Islands subject to the provisions of the Act.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left="652" w:hanging="652"/>
        <w:spacing w:after="0" w:line="254" w:lineRule="auto"/>
        <w:tabs>
          <w:tab w:leader="none" w:pos="652"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establish any regional or local boards or agencies for managing any of the affairs of the Company in any place, and may appoint any persons to be members of such local boards, or any managers or agents, and may fix their remuneration (either by way of salary or by commission or by conferring the right to participation in the profits of the Company or by a combination of two or more of these modes) and pay the working expenses of any staff employed by them upon the business of the Company. The Board may delegate to any regional or local board, manager or agent any of the powers, authorities and discretions vested in or exercisable by the Board (other than its powers to make calls and forfeit shares), with power to sub-delegate, and may authorise the members of any of them to fill any vacancies therein and to act notwithstanding vacancies. Any such appointment or delegation may be made upon such terms and subject to such conditions as the Board may think fit, and the Board may remove any person appointed as aforesaid, and may revoke or vary such delegation, but no person dealing in good faith and without notice of any such revocation or variation shall be affected thereby.</w:t>
      </w:r>
    </w:p>
    <w:p>
      <w:pPr>
        <w:spacing w:after="0" w:line="188" w:lineRule="exact"/>
        <w:rPr>
          <w:rFonts w:ascii="Times New Roman" w:cs="Times New Roman" w:eastAsia="Times New Roman" w:hAnsi="Times New Roman"/>
          <w:sz w:val="18"/>
          <w:szCs w:val="18"/>
          <w:color w:val="231F20"/>
        </w:rPr>
      </w:pPr>
    </w:p>
    <w:p>
      <w:pPr>
        <w:jc w:val="both"/>
        <w:ind w:left="652" w:hanging="652"/>
        <w:spacing w:after="0" w:line="255" w:lineRule="auto"/>
        <w:tabs>
          <w:tab w:leader="none" w:pos="652"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by power of attorney appoint any company, firm or person or any fluctuating body of persons, whether nominated directly or indirectly by the Board, to be the attorney or attorneys of the Company for such purposes and with such powers, authorities and discretions (not exceeding those vested in or exercisable by the Board under these Articles) and for such period and subject to such conditions as it may think fit, and any such power of attorney may contain such provisions for the protection and convenience of persons dealing with any such attorney as the Board may think fit, and may also authorise any such attorney to sub-delegate all or any of the powers, authorities and discretions vested in him. Such attorney or attorneys may, if so authorised under the Seal of the Company, execute any deed or instrument under their personal seal with the same effect as the affixation of the Company’s Seal.</w:t>
      </w:r>
    </w:p>
    <w:p>
      <w:pPr>
        <w:spacing w:after="0" w:line="188" w:lineRule="exact"/>
        <w:rPr>
          <w:rFonts w:ascii="Times New Roman" w:cs="Times New Roman" w:eastAsia="Times New Roman" w:hAnsi="Times New Roman"/>
          <w:sz w:val="18"/>
          <w:szCs w:val="18"/>
          <w:color w:val="231F20"/>
        </w:rPr>
      </w:pPr>
    </w:p>
    <w:p>
      <w:pPr>
        <w:jc w:val="both"/>
        <w:ind w:left="652" w:hanging="652"/>
        <w:spacing w:after="0" w:line="261" w:lineRule="auto"/>
        <w:tabs>
          <w:tab w:leader="none" w:pos="652"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entrust to and confer upon a managing director, joint managing director, deputy managing director, an executive director or any Director any of the powers exercisable by it upon such terms and conditions and with such restrictions as it thinks fit, and either collaterally with, or to the exclusion of, its own powers, and may from time to time revoke or vary all or any of such powers but no person dealing in good faith and without notice of such revocation or variation shall be affected thereby.</w:t>
      </w:r>
    </w:p>
    <w:p>
      <w:pPr>
        <w:spacing w:after="0" w:line="179" w:lineRule="exact"/>
        <w:rPr>
          <w:rFonts w:ascii="Times New Roman" w:cs="Times New Roman" w:eastAsia="Times New Roman" w:hAnsi="Times New Roman"/>
          <w:sz w:val="18"/>
          <w:szCs w:val="18"/>
          <w:color w:val="231F20"/>
        </w:rPr>
      </w:pPr>
    </w:p>
    <w:p>
      <w:pPr>
        <w:jc w:val="both"/>
        <w:ind w:left="652" w:hanging="652"/>
        <w:spacing w:after="0" w:line="261" w:lineRule="auto"/>
        <w:tabs>
          <w:tab w:leader="none" w:pos="652"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cheques, promissory notes, drafts, bills of exchange and other instruments, whether negotiable or transferable or not, and all receipts for moneys paid to the Company shall be signed, drawn, accepted, endorsed or otherwise executed, as the case may be, in such manner as the Board shall from time to time by resolution determine. The Company’s banking accounts shall be kept with such banker or bankers as the Board shall from time to time determine.</w:t>
      </w:r>
    </w:p>
    <w:p>
      <w:pPr>
        <w:spacing w:after="0" w:line="39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47" w:name="page48"/>
    <w:bookmarkEnd w:id="47"/>
    <w:p>
      <w:pPr>
        <w:ind w:left="1300" w:hanging="1292"/>
        <w:spacing w:after="0" w:line="256" w:lineRule="auto"/>
        <w:tabs>
          <w:tab w:leader="none" w:pos="652" w:val="left"/>
        </w:tabs>
        <w:numPr>
          <w:ilvl w:val="0"/>
          <w:numId w:val="7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(1)The Board may establish or concur or join with other companies (being subsidiary companies of the Company or companies with which it is associated in business) in establishing and making contributions out of the Company’s moneys to any schemes or funds for providing pensions, sickness or compassionate allowances, life assurance or other benefits for employees (which expression as used in this and the following paragraph shall include any Director or ex-Director who may hold or have held any executive office or any office of profit under the Company or any of its subsidiary companies) and ex-employees of the Company and their dependants or any class or classes of such person.</w:t>
      </w:r>
    </w:p>
    <w:p>
      <w:pPr>
        <w:spacing w:after="0" w:line="187" w:lineRule="exact"/>
        <w:rPr>
          <w:rFonts w:ascii="Times New Roman" w:cs="Times New Roman" w:eastAsia="Times New Roman" w:hAnsi="Times New Roman"/>
          <w:sz w:val="18"/>
          <w:szCs w:val="18"/>
          <w:color w:val="231F20"/>
        </w:rPr>
      </w:pPr>
    </w:p>
    <w:p>
      <w:pPr>
        <w:jc w:val="both"/>
        <w:ind w:left="1300" w:hanging="644"/>
        <w:spacing w:after="0" w:line="256" w:lineRule="auto"/>
        <w:tabs>
          <w:tab w:leader="none" w:pos="1300" w:val="left"/>
        </w:tabs>
        <w:numPr>
          <w:ilvl w:val="1"/>
          <w:numId w:val="7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pay, enter into agreements to pay or make grants of revocable or irrevocable pensions or other benefits to employees and ex-employees and their dependants, or to any of such persons, including pensions or benefits additional to those, if any, to which such employees or ex-employees or their dependants are or may become entitled under any such scheme or fund as mentioned in the last preceding paragraph. Any such pension or benefit may, as the Board considers desirable, be granted to an employee either before and in anticipation of or upon or at any time after his actual retirement, and may be subject or not subject to any terms or conditions as the Board may determine.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31F20"/>
        </w:rPr>
        <w:t>BORROWING POWERS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7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exercise all the powers of the Company to raise or borrow money and to mortgage or charge all or any part of the undertaking, property and assets (present and future) and uncalled capital of the Company and, subject to the Act, to issue debentures, bonds and other securities, whether outright or as collateral security for any debt, liability or obligation of the Company or of any third party.</w:t>
      </w:r>
    </w:p>
    <w:p>
      <w:pPr>
        <w:spacing w:after="0" w:line="175" w:lineRule="exact"/>
        <w:rPr>
          <w:rFonts w:ascii="Times New Roman" w:cs="Times New Roman" w:eastAsia="Times New Roman" w:hAnsi="Times New Roman"/>
          <w:sz w:val="18"/>
          <w:szCs w:val="18"/>
          <w:color w:val="231F20"/>
        </w:rPr>
      </w:pPr>
    </w:p>
    <w:p>
      <w:pPr>
        <w:ind w:left="660" w:hanging="652"/>
        <w:spacing w:after="0" w:line="282" w:lineRule="auto"/>
        <w:tabs>
          <w:tab w:leader="none" w:pos="660" w:val="left"/>
        </w:tabs>
        <w:numPr>
          <w:ilvl w:val="0"/>
          <w:numId w:val="7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Debentures, bonds and other securities may be made assignable free from any equities between the Company and the person to whom the same may be issued.</w:t>
      </w:r>
    </w:p>
    <w:p>
      <w:pPr>
        <w:spacing w:after="0" w:line="161" w:lineRule="exact"/>
        <w:rPr>
          <w:rFonts w:ascii="Times New Roman" w:cs="Times New Roman" w:eastAsia="Times New Roman" w:hAnsi="Times New Roman"/>
          <w:sz w:val="18"/>
          <w:szCs w:val="18"/>
          <w:color w:val="231F20"/>
        </w:rPr>
      </w:pPr>
    </w:p>
    <w:p>
      <w:pPr>
        <w:jc w:val="both"/>
        <w:ind w:left="660" w:hanging="652"/>
        <w:spacing w:after="0" w:line="266" w:lineRule="auto"/>
        <w:tabs>
          <w:tab w:leader="none" w:pos="660" w:val="left"/>
        </w:tabs>
        <w:numPr>
          <w:ilvl w:val="0"/>
          <w:numId w:val="7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debentures, bonds or other securities may be issued at a discount (other than shares), premium or otherwise and with any special privileges as to redemption, surrender, drawings, allotment of shares, attending and voting at general meetings of the Company, appointment of Directors and otherwise.</w:t>
      </w:r>
    </w:p>
    <w:p>
      <w:pPr>
        <w:spacing w:after="0" w:line="175" w:lineRule="exact"/>
        <w:rPr>
          <w:rFonts w:ascii="Times New Roman" w:cs="Times New Roman" w:eastAsia="Times New Roman" w:hAnsi="Times New Roman"/>
          <w:sz w:val="18"/>
          <w:szCs w:val="18"/>
          <w:color w:val="231F20"/>
        </w:rPr>
      </w:pPr>
    </w:p>
    <w:p>
      <w:pPr>
        <w:ind w:left="1300" w:hanging="1292"/>
        <w:spacing w:after="0" w:line="282" w:lineRule="auto"/>
        <w:tabs>
          <w:tab w:leader="none" w:pos="652" w:val="left"/>
        </w:tabs>
        <w:numPr>
          <w:ilvl w:val="0"/>
          <w:numId w:val="7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(1)Where any uncalled capital of the Company is charged, all persons taking any subsequent charge thereon shall take the same subject to such prior charge, and shall not be entitled, by notice to the Members or otherwise, to obtain priority over such prior charge.</w:t>
      </w:r>
    </w:p>
    <w:p>
      <w:pPr>
        <w:spacing w:after="0" w:line="161" w:lineRule="exact"/>
        <w:rPr>
          <w:rFonts w:ascii="Times New Roman" w:cs="Times New Roman" w:eastAsia="Times New Roman" w:hAnsi="Times New Roman"/>
          <w:sz w:val="18"/>
          <w:szCs w:val="18"/>
          <w:color w:val="231F20"/>
        </w:rPr>
      </w:pPr>
    </w:p>
    <w:p>
      <w:pPr>
        <w:jc w:val="both"/>
        <w:ind w:left="1300" w:hanging="644"/>
        <w:spacing w:after="0" w:line="266" w:lineRule="auto"/>
        <w:tabs>
          <w:tab w:leader="none" w:pos="1300" w:val="left"/>
        </w:tabs>
        <w:numPr>
          <w:ilvl w:val="1"/>
          <w:numId w:val="7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cause a proper register to be kept, in accordance with the provisions of the Act, of all charges specifically affecting the property of the Company and of any series of debentures issued by the Company and shall duly comply with the requirements of the Act in regard to the registration of charges and debentures therein specified and otherwise.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231F20"/>
        </w:rPr>
        <w:t>PROCEEDINGS OF THE DIRECTORS</w:t>
      </w:r>
    </w:p>
    <w:p>
      <w:pPr>
        <w:spacing w:after="0" w:line="229" w:lineRule="exact"/>
        <w:rPr>
          <w:sz w:val="20"/>
          <w:szCs w:val="20"/>
          <w:color w:val="auto"/>
        </w:rPr>
      </w:pPr>
    </w:p>
    <w:p>
      <w:pPr>
        <w:jc w:val="both"/>
        <w:ind w:left="652" w:hanging="652"/>
        <w:spacing w:after="0" w:line="266" w:lineRule="auto"/>
        <w:tabs>
          <w:tab w:leader="none" w:pos="652"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meet for the despatch of business, adjourn and otherwise regulate its meetings as it considers appropriate. Questions arising at any meeting shall be determined by a majority of votes. In the case of any equality of votes the chairman of the meeting shall have an additional or casting vote.</w:t>
      </w:r>
    </w:p>
    <w:p>
      <w:pPr>
        <w:spacing w:after="0" w:line="175" w:lineRule="exact"/>
        <w:rPr>
          <w:rFonts w:ascii="Times New Roman" w:cs="Times New Roman" w:eastAsia="Times New Roman" w:hAnsi="Times New Roman"/>
          <w:sz w:val="18"/>
          <w:szCs w:val="18"/>
          <w:color w:val="231F20"/>
        </w:rPr>
      </w:pPr>
    </w:p>
    <w:p>
      <w:pPr>
        <w:jc w:val="both"/>
        <w:ind w:left="652" w:right="20" w:hanging="652"/>
        <w:spacing w:after="0" w:line="266" w:lineRule="auto"/>
        <w:tabs>
          <w:tab w:leader="none" w:pos="652"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meeting of the Board may be convened by the Secretary on request of a Director or by any Director. The Secretary shall convene a meeting of the Board of which notice may be given in writing or by telephone or in such other manner as the Board may from time to time determine whenever he shall be required so to do by the president or chairman, as the case may be, or any Director.</w:t>
      </w:r>
    </w:p>
    <w:p>
      <w:pPr>
        <w:spacing w:after="0" w:line="175" w:lineRule="exact"/>
        <w:rPr>
          <w:rFonts w:ascii="Times New Roman" w:cs="Times New Roman" w:eastAsia="Times New Roman" w:hAnsi="Times New Roman"/>
          <w:sz w:val="18"/>
          <w:szCs w:val="18"/>
          <w:color w:val="231F20"/>
        </w:rPr>
      </w:pPr>
    </w:p>
    <w:p>
      <w:pPr>
        <w:ind w:left="1292" w:hanging="1292"/>
        <w:spacing w:after="0" w:line="261" w:lineRule="auto"/>
        <w:tabs>
          <w:tab w:leader="none" w:pos="644"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(1)The quorum necessary for the transaction of the business of the Board may be fixed by the Board and, unless so fixed at any other number, shall be two (2) of the Board. An alternate Director shall be counted in a quorum in the case of the absence of a Director for whom he is the alternate provided that he shall not be counted more than once for the purpose of determining whether or not a quorum is present.</w:t>
      </w:r>
    </w:p>
    <w:p>
      <w:pPr>
        <w:spacing w:after="0" w:line="179" w:lineRule="exact"/>
        <w:rPr>
          <w:rFonts w:ascii="Times New Roman" w:cs="Times New Roman" w:eastAsia="Times New Roman" w:hAnsi="Times New Roman"/>
          <w:sz w:val="18"/>
          <w:szCs w:val="18"/>
          <w:color w:val="231F20"/>
        </w:rPr>
      </w:pPr>
    </w:p>
    <w:p>
      <w:pPr>
        <w:jc w:val="both"/>
        <w:ind w:left="1292" w:hanging="644"/>
        <w:spacing w:after="0" w:line="266" w:lineRule="auto"/>
        <w:tabs>
          <w:tab w:leader="none" w:pos="1292" w:val="left"/>
        </w:tabs>
        <w:numPr>
          <w:ilvl w:val="1"/>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Directors may participate in any meeting of the Board by means of a conference telephone or other communications equipment through which all persons participating in the meeting can communicate with each other simultaneously and instantaneously and, for the purpose of counting a quorum, such participation shall constitute presence at a meeting as if those participating were present in person.</w:t>
      </w:r>
    </w:p>
    <w:p>
      <w:pPr>
        <w:spacing w:after="0" w:line="175" w:lineRule="exact"/>
        <w:rPr>
          <w:rFonts w:ascii="Times New Roman" w:cs="Times New Roman" w:eastAsia="Times New Roman" w:hAnsi="Times New Roman"/>
          <w:sz w:val="18"/>
          <w:szCs w:val="18"/>
          <w:color w:val="231F20"/>
        </w:rPr>
      </w:pPr>
    </w:p>
    <w:p>
      <w:pPr>
        <w:jc w:val="both"/>
        <w:ind w:left="1292" w:right="20" w:hanging="644"/>
        <w:spacing w:after="0" w:line="266" w:lineRule="auto"/>
        <w:tabs>
          <w:tab w:leader="none" w:pos="1292" w:val="left"/>
        </w:tabs>
        <w:numPr>
          <w:ilvl w:val="1"/>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Director who ceases to be a Director at a Board meeting may continue to be present and to act as a Director and be counted in the quorum until the termination of such Board meeting if no other Director objects and if otherwise a quorum of Directors would not be present.</w:t>
      </w:r>
    </w:p>
    <w:p>
      <w:pPr>
        <w:spacing w:after="0" w:line="175" w:lineRule="exact"/>
        <w:rPr>
          <w:rFonts w:ascii="Times New Roman" w:cs="Times New Roman" w:eastAsia="Times New Roman" w:hAnsi="Times New Roman"/>
          <w:sz w:val="18"/>
          <w:szCs w:val="18"/>
          <w:color w:val="231F20"/>
        </w:rPr>
      </w:pPr>
    </w:p>
    <w:p>
      <w:pPr>
        <w:jc w:val="both"/>
        <w:ind w:left="652" w:hanging="652"/>
        <w:spacing w:after="0" w:line="258" w:lineRule="auto"/>
        <w:tabs>
          <w:tab w:leader="none" w:pos="652"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continuing Directors or a sole continuing Director may act notwithstanding any vacancy in the Board but, if and so long as the number of Directors is reduced below the minimum number fixed by or in accordance with these Articles as the quorum, the continuing Directors or Director, notwithstanding that the number of Directors is below the number fixed by or in accordance with these Articles as the quorum or that there is only one continuing Director, may act for the purpose of filling vacancies in the Board or of summoning general meetings of the Company but not for any other purpose.</w:t>
      </w:r>
    </w:p>
    <w:p>
      <w:pPr>
        <w:spacing w:after="0" w:line="183" w:lineRule="exact"/>
        <w:rPr>
          <w:rFonts w:ascii="Times New Roman" w:cs="Times New Roman" w:eastAsia="Times New Roman" w:hAnsi="Times New Roman"/>
          <w:sz w:val="18"/>
          <w:szCs w:val="18"/>
          <w:color w:val="231F20"/>
        </w:rPr>
      </w:pPr>
    </w:p>
    <w:p>
      <w:pPr>
        <w:jc w:val="both"/>
        <w:ind w:left="652" w:hanging="652"/>
        <w:spacing w:after="0" w:line="266" w:lineRule="auto"/>
        <w:tabs>
          <w:tab w:leader="none" w:pos="652"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Chairman of the Board shall be the chairman of all meetings of the Board. If the Chairman of the Board is not present at any meeting within five (5) minutes after the time appointed for holding the same, the Directors present may choose one of their number to be chairman of the meeting.</w:t>
      </w:r>
    </w:p>
    <w:p>
      <w:pPr>
        <w:spacing w:after="0" w:line="175" w:lineRule="exact"/>
        <w:rPr>
          <w:rFonts w:ascii="Times New Roman" w:cs="Times New Roman" w:eastAsia="Times New Roman" w:hAnsi="Times New Roman"/>
          <w:sz w:val="18"/>
          <w:szCs w:val="18"/>
          <w:color w:val="231F20"/>
        </w:rPr>
      </w:pPr>
    </w:p>
    <w:p>
      <w:pPr>
        <w:ind w:left="652" w:hanging="652"/>
        <w:spacing w:after="0" w:line="282" w:lineRule="auto"/>
        <w:tabs>
          <w:tab w:leader="none" w:pos="652" w:val="left"/>
        </w:tabs>
        <w:numPr>
          <w:ilvl w:val="0"/>
          <w:numId w:val="7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meeting of the Board at which a quorum is present shall be competent to exercise all the powers, authorities and discretions for the time being vested in or exercisable by the Board.</w:t>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49" w:name="page50"/>
    <w:bookmarkEnd w:id="49"/>
    <w:p>
      <w:pPr>
        <w:ind w:left="1292" w:hanging="1292"/>
        <w:spacing w:after="0" w:line="258" w:lineRule="auto"/>
        <w:tabs>
          <w:tab w:leader="none" w:pos="644"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(1)The Board may delegate any of its powers, authorities and discretions to committees (including, without limitation, the Audit Committee), consisting of such Director or Directors and other persons as it thinks fit, and they may, from time to time, revoke such delegation or revoke the appointment of and discharge any such committees either wholly or in part, and either as to persons or purposes. Any committee so formed shall, in the exercise of the powers, authorities and discretions so delegated, conform to any regulations which may be imposed on it by the Board.</w:t>
      </w:r>
    </w:p>
    <w:p>
      <w:pPr>
        <w:spacing w:after="0" w:line="183" w:lineRule="exact"/>
        <w:rPr>
          <w:rFonts w:ascii="Times New Roman" w:cs="Times New Roman" w:eastAsia="Times New Roman" w:hAnsi="Times New Roman"/>
          <w:sz w:val="18"/>
          <w:szCs w:val="18"/>
          <w:color w:val="231F20"/>
        </w:rPr>
      </w:pPr>
    </w:p>
    <w:p>
      <w:pPr>
        <w:jc w:val="both"/>
        <w:ind w:left="1292" w:hanging="644"/>
        <w:spacing w:after="0" w:line="261" w:lineRule="auto"/>
        <w:tabs>
          <w:tab w:leader="none" w:pos="1292" w:val="left"/>
        </w:tabs>
        <w:numPr>
          <w:ilvl w:val="1"/>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acts done by any such committee in conformity with such regulations, and in fulfilment of the purposes for which it was appointed, but not otherwise, shall have like force and effect as if done by the Board, and the Board (or if the Board delegates such power, the committee) shall have power to remunerate the members of any such committee, and charge such remuneration to the current expenses of the Company.</w:t>
      </w:r>
    </w:p>
    <w:p>
      <w:pPr>
        <w:spacing w:after="0" w:line="179" w:lineRule="exact"/>
        <w:rPr>
          <w:rFonts w:ascii="Times New Roman" w:cs="Times New Roman" w:eastAsia="Times New Roman" w:hAnsi="Times New Roman"/>
          <w:sz w:val="18"/>
          <w:szCs w:val="18"/>
          <w:color w:val="231F20"/>
        </w:rPr>
      </w:pPr>
    </w:p>
    <w:p>
      <w:pPr>
        <w:jc w:val="both"/>
        <w:ind w:left="652" w:hanging="652"/>
        <w:spacing w:after="0" w:line="261" w:lineRule="auto"/>
        <w:tabs>
          <w:tab w:leader="none" w:pos="652"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meetings and proceedings of any committee consisting of two or more members shall be governed by the provisions contained in these Articles for regulating the meetings and proceedings of the Board so far as the same are applicable and are not superseded by any regulations imposed by the Board under the last preceding Article, indicating, without limitation, any committee charter adopted by the Board for purposes or in respect of any such committee.</w:t>
      </w:r>
    </w:p>
    <w:p>
      <w:pPr>
        <w:spacing w:after="0" w:line="179" w:lineRule="exact"/>
        <w:rPr>
          <w:rFonts w:ascii="Times New Roman" w:cs="Times New Roman" w:eastAsia="Times New Roman" w:hAnsi="Times New Roman"/>
          <w:sz w:val="18"/>
          <w:szCs w:val="18"/>
          <w:color w:val="231F20"/>
        </w:rPr>
      </w:pPr>
    </w:p>
    <w:p>
      <w:pPr>
        <w:jc w:val="both"/>
        <w:ind w:left="652" w:hanging="652"/>
        <w:spacing w:after="0" w:line="256" w:lineRule="auto"/>
        <w:tabs>
          <w:tab w:leader="none" w:pos="652"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resolution in writing signed by all the Directors except such as are temporarily unable to act through ill-health or disability shall (provided that such number is sufficient to constitute a quorum and further provided that a copy of such resolution has been given or the contents thereof communicated to all the Directors for the time being entitled to receive notices of Board meetings in the same manner as notices of meetings are required to be given by these Articles) be as valid and effectual as if a resolution had been passed at a meeting of the Board duly convened and held. Such resolution may be contained in one document or in several documents in like form each signed by one or more of the Directors and for this purpose a facsimile signature of a Director shall be treated as valid.</w:t>
      </w:r>
    </w:p>
    <w:p>
      <w:pPr>
        <w:spacing w:after="0" w:line="187" w:lineRule="exact"/>
        <w:rPr>
          <w:rFonts w:ascii="Times New Roman" w:cs="Times New Roman" w:eastAsia="Times New Roman" w:hAnsi="Times New Roman"/>
          <w:sz w:val="18"/>
          <w:szCs w:val="18"/>
          <w:color w:val="231F20"/>
        </w:rPr>
      </w:pPr>
    </w:p>
    <w:p>
      <w:pPr>
        <w:jc w:val="both"/>
        <w:ind w:left="652" w:hanging="652"/>
        <w:spacing w:after="0" w:line="261" w:lineRule="auto"/>
        <w:tabs>
          <w:tab w:leader="none" w:pos="652" w:val="left"/>
        </w:tabs>
        <w:numPr>
          <w:ilvl w:val="0"/>
          <w:numId w:val="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acts bona fide done by the Board or by any committee or by any person acting as a Director or members of a committee, shall, notwithstanding that it is afterwards discovered that there was some defect in the appointment of any member of the Board or such committee or person acting as aforesaid or that they or any of them were disqualified or had vacated office, be as valid as if every such person had been duly appointed and was qualified and had continued to be a Director or member of such committee.</w:t>
      </w:r>
    </w:p>
    <w:p>
      <w:pPr>
        <w:spacing w:after="0" w:line="39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31F20"/>
        </w:rPr>
        <w:t>AUDIT COMMITTEE</w:t>
      </w:r>
    </w:p>
    <w:p>
      <w:pPr>
        <w:spacing w:after="0" w:line="229" w:lineRule="exact"/>
        <w:rPr>
          <w:sz w:val="20"/>
          <w:szCs w:val="20"/>
          <w:color w:val="auto"/>
        </w:rPr>
      </w:pPr>
    </w:p>
    <w:p>
      <w:pPr>
        <w:jc w:val="both"/>
        <w:ind w:left="660" w:hanging="652"/>
        <w:spacing w:after="0" w:line="261" w:lineRule="auto"/>
        <w:tabs>
          <w:tab w:leader="none" w:pos="660" w:val="left"/>
        </w:tabs>
        <w:numPr>
          <w:ilvl w:val="0"/>
          <w:numId w:val="7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Without prejudice to the freedom of the Directors to establish any other committees, for so long as the shares of the Company (or depositary receipts therefor) are listed or quoted on the Designated Stock Exchange, the Board shall establish and maintain an Audit Committee as a committee of the Board, the composition and responsibilities of which shall comply with the rules of the Designated Stock Exchange and the rules and regulations of the SEC.</w:t>
      </w:r>
    </w:p>
    <w:p>
      <w:pPr>
        <w:spacing w:after="0" w:line="179" w:lineRule="exact"/>
        <w:rPr>
          <w:rFonts w:ascii="Times New Roman" w:cs="Times New Roman" w:eastAsia="Times New Roman" w:hAnsi="Times New Roman"/>
          <w:sz w:val="18"/>
          <w:szCs w:val="18"/>
          <w:color w:val="231F20"/>
        </w:rPr>
      </w:pPr>
    </w:p>
    <w:p>
      <w:pPr>
        <w:ind w:left="660" w:hanging="652"/>
        <w:spacing w:after="0" w:line="282" w:lineRule="auto"/>
        <w:tabs>
          <w:tab w:leader="none" w:pos="660" w:val="left"/>
        </w:tabs>
        <w:numPr>
          <w:ilvl w:val="0"/>
          <w:numId w:val="7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adopt a formal written audit committee charter and review and assess the adequacy of the formal written charter on an annual basis.</w:t>
      </w:r>
    </w:p>
    <w:p>
      <w:pPr>
        <w:spacing w:after="0" w:line="161" w:lineRule="exact"/>
        <w:rPr>
          <w:rFonts w:ascii="Times New Roman" w:cs="Times New Roman" w:eastAsia="Times New Roman" w:hAnsi="Times New Roman"/>
          <w:sz w:val="18"/>
          <w:szCs w:val="18"/>
          <w:color w:val="231F20"/>
        </w:rPr>
      </w:pPr>
    </w:p>
    <w:p>
      <w:pPr>
        <w:jc w:val="both"/>
        <w:ind w:left="660" w:hanging="652"/>
        <w:spacing w:after="0" w:line="266" w:lineRule="auto"/>
        <w:tabs>
          <w:tab w:leader="none" w:pos="660" w:val="left"/>
        </w:tabs>
        <w:numPr>
          <w:ilvl w:val="0"/>
          <w:numId w:val="7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so long as the shares of the Company (or depositary receipts therefor) are listed or quoted on the Designated Stock Exchange, the Company shall conduct an appropriate review of all related party transactions on an ongoing basis and shall utilize the Audit Committee for the review and approval of potential conflicts of interest in accordance with the audit committee charter.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31F20"/>
        </w:rPr>
        <w:t>OFFICERS</w:t>
      </w:r>
    </w:p>
    <w:p>
      <w:pPr>
        <w:spacing w:after="0" w:line="229" w:lineRule="exact"/>
        <w:rPr>
          <w:sz w:val="20"/>
          <w:szCs w:val="20"/>
          <w:color w:val="auto"/>
        </w:rPr>
      </w:pPr>
    </w:p>
    <w:p>
      <w:pPr>
        <w:ind w:left="1300" w:hanging="1292"/>
        <w:spacing w:after="0" w:line="261" w:lineRule="auto"/>
        <w:tabs>
          <w:tab w:leader="none" w:pos="652"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(1)The officers of the Company shall consist of the Chairman of the Board, the Directors and Secretary and such additional officers (who may or may not be Directors) as the Board may from time to time determine, all of whom shall be deemed to be officers for the purposes of the Act and these Articles. In addition to the officers of the Company, the Board may also from time to time determine and appoint managers and delegate to the same such powers and duties as are prescribed by the Board.</w:t>
      </w:r>
    </w:p>
    <w:p>
      <w:pPr>
        <w:spacing w:after="0" w:line="179" w:lineRule="exact"/>
        <w:rPr>
          <w:rFonts w:ascii="Times New Roman" w:cs="Times New Roman" w:eastAsia="Times New Roman" w:hAnsi="Times New Roman"/>
          <w:sz w:val="18"/>
          <w:szCs w:val="18"/>
          <w:color w:val="231F20"/>
        </w:rPr>
      </w:pPr>
    </w:p>
    <w:p>
      <w:pPr>
        <w:jc w:val="both"/>
        <w:ind w:left="1300" w:hanging="644"/>
        <w:spacing w:after="0" w:line="266" w:lineRule="auto"/>
        <w:tabs>
          <w:tab w:leader="none" w:pos="1300" w:val="left"/>
        </w:tabs>
        <w:numPr>
          <w:ilvl w:val="1"/>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Directors shall, as soon as may be after each appointment or election of Directors, elect amongst the Directors a Chairman and if more than one Director is proposed for this office, the election to such office shall take place in such manner as the Directors may determine.</w:t>
      </w:r>
    </w:p>
    <w:p>
      <w:pPr>
        <w:spacing w:after="0" w:line="175" w:lineRule="exact"/>
        <w:rPr>
          <w:rFonts w:ascii="Times New Roman" w:cs="Times New Roman" w:eastAsia="Times New Roman" w:hAnsi="Times New Roman"/>
          <w:sz w:val="18"/>
          <w:szCs w:val="18"/>
          <w:color w:val="231F20"/>
        </w:rPr>
      </w:pPr>
    </w:p>
    <w:p>
      <w:pPr>
        <w:ind w:left="1300" w:hanging="644"/>
        <w:spacing w:after="0"/>
        <w:tabs>
          <w:tab w:leader="none" w:pos="1300" w:val="left"/>
        </w:tabs>
        <w:numPr>
          <w:ilvl w:val="1"/>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officers shall receive such remuneration as the Directors may from time to time determine.</w:t>
      </w:r>
    </w:p>
    <w:p>
      <w:pPr>
        <w:spacing w:after="0" w:line="225" w:lineRule="exact"/>
        <w:rPr>
          <w:rFonts w:ascii="Times New Roman" w:cs="Times New Roman" w:eastAsia="Times New Roman" w:hAnsi="Times New Roman"/>
          <w:sz w:val="18"/>
          <w:szCs w:val="18"/>
          <w:color w:val="231F20"/>
        </w:rPr>
      </w:pPr>
    </w:p>
    <w:p>
      <w:pPr>
        <w:ind w:left="1300" w:hanging="1292"/>
        <w:spacing w:after="0" w:line="266" w:lineRule="auto"/>
        <w:tabs>
          <w:tab w:leader="none" w:pos="652" w:val="left"/>
        </w:tabs>
        <w:numPr>
          <w:ilvl w:val="0"/>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(1)The Secretary and additional officers, if any, shall be appointed by the Board and shall hold office on such terms and for such period as the Board may determine. If thought fit, two or more persons may be appointed as joint Secretaries. The Board may also appoint from time to time on such terms as it thinks fit one or more assistant or deputy Secretaries.</w:t>
      </w:r>
    </w:p>
    <w:p>
      <w:pPr>
        <w:spacing w:after="0" w:line="175" w:lineRule="exact"/>
        <w:rPr>
          <w:rFonts w:ascii="Times New Roman" w:cs="Times New Roman" w:eastAsia="Times New Roman" w:hAnsi="Times New Roman"/>
          <w:sz w:val="18"/>
          <w:szCs w:val="18"/>
          <w:color w:val="231F20"/>
        </w:rPr>
      </w:pPr>
    </w:p>
    <w:p>
      <w:pPr>
        <w:jc w:val="both"/>
        <w:ind w:left="1300" w:hanging="644"/>
        <w:spacing w:after="0" w:line="266" w:lineRule="auto"/>
        <w:tabs>
          <w:tab w:leader="none" w:pos="1300" w:val="left"/>
        </w:tabs>
        <w:numPr>
          <w:ilvl w:val="1"/>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Secretary shall attend all meetings of the Members and shall keep correct minutes of such meetings and enter the same in the proper books provided for the purpose. He shall perform such other duties as are prescribed by the Act or these Articles or as may be prescribed by the Board.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ind w:left="660" w:right="20" w:hanging="652"/>
        <w:spacing w:after="0" w:line="282" w:lineRule="auto"/>
        <w:tabs>
          <w:tab w:leader="none" w:pos="660" w:val="left"/>
        </w:tabs>
        <w:numPr>
          <w:ilvl w:val="0"/>
          <w:numId w:val="7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officers of the Company shall have such powers and perform such duties in the management, business and affairs of the Company as may be delegated to them by the Directors from time to time.</w:t>
      </w:r>
    </w:p>
    <w:p>
      <w:pPr>
        <w:spacing w:after="0" w:line="161" w:lineRule="exact"/>
        <w:rPr>
          <w:rFonts w:ascii="Times New Roman" w:cs="Times New Roman" w:eastAsia="Times New Roman" w:hAnsi="Times New Roman"/>
          <w:sz w:val="18"/>
          <w:szCs w:val="18"/>
          <w:color w:val="231F20"/>
        </w:rPr>
      </w:pPr>
    </w:p>
    <w:p>
      <w:pPr>
        <w:ind w:left="660" w:hanging="652"/>
        <w:spacing w:after="0" w:line="282" w:lineRule="auto"/>
        <w:tabs>
          <w:tab w:leader="none" w:pos="660" w:val="left"/>
        </w:tabs>
        <w:numPr>
          <w:ilvl w:val="0"/>
          <w:numId w:val="7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provision of the Act or of these Articles requiring or authorising a thing to be done by or to a Director and the Secretary shall not be satisfied by its being done by or to the same person acting both as Director and as or in place of the Secretary.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31F20"/>
        </w:rPr>
        <w:t>REGISTER OF DIRECTORS AND OFFICERS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7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shall cause to be kept in one or more books at its Office a Register of Directors and Officers in which there shall be entered the full names and addresses of the Directors and Officers and such other particulars as required by the Act or as the Directors may determine. The Company shall send to the Registrar of Companies in the Cayman Islands a copy of such register, and shall from time to time notify to the said Registrar of any change that takes place in relation to such Directors and Officers as required by the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31F20"/>
        </w:rPr>
        <w:t>MINUTES</w:t>
      </w:r>
    </w:p>
    <w:p>
      <w:pPr>
        <w:spacing w:after="0" w:line="229"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(1)The Board shall cause minutes to be duly entered in books provided for the purpose:</w:t>
      </w:r>
    </w:p>
    <w:p>
      <w:pPr>
        <w:spacing w:after="0" w:line="225" w:lineRule="exact"/>
        <w:rPr>
          <w:rFonts w:ascii="Times New Roman" w:cs="Times New Roman" w:eastAsia="Times New Roman" w:hAnsi="Times New Roman"/>
          <w:sz w:val="18"/>
          <w:szCs w:val="18"/>
          <w:color w:val="231F20"/>
        </w:rPr>
      </w:pPr>
    </w:p>
    <w:p>
      <w:pPr>
        <w:ind w:left="1960" w:hanging="656"/>
        <w:spacing w:after="0"/>
        <w:tabs>
          <w:tab w:leader="none" w:pos="1960" w:val="left"/>
        </w:tabs>
        <w:numPr>
          <w:ilvl w:val="1"/>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of all elections and appointments of officers;</w:t>
      </w:r>
    </w:p>
    <w:p>
      <w:pPr>
        <w:spacing w:after="0" w:line="225" w:lineRule="exact"/>
        <w:rPr>
          <w:rFonts w:ascii="Times New Roman" w:cs="Times New Roman" w:eastAsia="Times New Roman" w:hAnsi="Times New Roman"/>
          <w:sz w:val="18"/>
          <w:szCs w:val="18"/>
          <w:color w:val="231F20"/>
        </w:rPr>
      </w:pPr>
    </w:p>
    <w:p>
      <w:pPr>
        <w:ind w:left="1960" w:hanging="656"/>
        <w:spacing w:after="0"/>
        <w:tabs>
          <w:tab w:leader="none" w:pos="1960" w:val="left"/>
        </w:tabs>
        <w:numPr>
          <w:ilvl w:val="1"/>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of the names of the Directors present at each meeting of the Directors and of any committee of the Directors;</w:t>
      </w:r>
    </w:p>
    <w:p>
      <w:pPr>
        <w:spacing w:after="0" w:line="225" w:lineRule="exact"/>
        <w:rPr>
          <w:rFonts w:ascii="Times New Roman" w:cs="Times New Roman" w:eastAsia="Times New Roman" w:hAnsi="Times New Roman"/>
          <w:sz w:val="18"/>
          <w:szCs w:val="18"/>
          <w:color w:val="231F20"/>
        </w:rPr>
      </w:pPr>
    </w:p>
    <w:p>
      <w:pPr>
        <w:ind w:left="1960" w:hanging="656"/>
        <w:spacing w:after="0" w:line="282" w:lineRule="auto"/>
        <w:tabs>
          <w:tab w:leader="none" w:pos="1960" w:val="left"/>
        </w:tabs>
        <w:numPr>
          <w:ilvl w:val="1"/>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of all resolutions and proceedings of each general meeting of the Members, meetings of the Board and meetings of committees of the Board and where there are managers, of all proceedings of meetings of the managers.</w:t>
      </w:r>
    </w:p>
    <w:p>
      <w:pPr>
        <w:spacing w:after="0" w:line="162" w:lineRule="exact"/>
        <w:rPr>
          <w:sz w:val="20"/>
          <w:szCs w:val="20"/>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Minutes shall be kept by the Secretary at the Office.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31F20"/>
        </w:rPr>
        <w:t>SEAL</w:t>
      </w:r>
    </w:p>
    <w:p>
      <w:pPr>
        <w:spacing w:after="0" w:line="229" w:lineRule="exact"/>
        <w:rPr>
          <w:sz w:val="20"/>
          <w:szCs w:val="20"/>
          <w:color w:val="auto"/>
        </w:rPr>
      </w:pPr>
    </w:p>
    <w:p>
      <w:pPr>
        <w:ind w:left="1300" w:hanging="1292"/>
        <w:spacing w:after="0" w:line="253" w:lineRule="auto"/>
        <w:tabs>
          <w:tab w:leader="none" w:pos="652" w:val="left"/>
        </w:tabs>
        <w:numPr>
          <w:ilvl w:val="0"/>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(1)The Company shall have one or more Seals, as the Board may determine. For the purpose of sealing documents creating or evidencing securities issued by the Company, the Company may have a securities seal which is a facsimile of the Seal of the Company with the addition of the word “Securities” on its face or in such other form as the Board may approve. The Board shall provide for the custody of each Seal and no Seal shall be used without the authority of the Board or of a committee of the Board authorised by the Board in that behalf. Subject as otherwise provided in these Articles, any instrument to which a Seal is affixed shall be signed autographically by one Director or by such other person (including a Director) or persons as the Board may appoint, either generally or in any particular case, save that as regards any certificates for shares or debentures or other securities of the Company the Board may by resolution determine that such signatures or either of them shall be dispensed with or affixed by some method or system of mechanical signature. Every instrument executed in manner provided by this Article 131 shall be deemed to be sealed and executed with the authority of the Board previously given.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left="1300" w:hanging="644"/>
        <w:spacing w:after="0" w:line="261" w:lineRule="auto"/>
        <w:tabs>
          <w:tab w:leader="none" w:pos="1300" w:val="left"/>
        </w:tabs>
        <w:numPr>
          <w:ilvl w:val="0"/>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Where the Company has a Seal for use abroad, the Board may by writing under the Seal appoint any agent or committee abroad to be the duly authorised agent of the Company for the purpose of affixing and using such Seal and the Board may impose restrictions on the use thereof as may be thought fit. Wherever in these Articles reference is made to the Seal, the reference shall, when and so far as may be applicable, be deemed to include any such other Seal as aforesaid.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31F20"/>
        </w:rPr>
        <w:t>AUTHENTICATION OF DOCUMENTS</w:t>
      </w:r>
    </w:p>
    <w:p>
      <w:pPr>
        <w:spacing w:after="0" w:line="229" w:lineRule="exact"/>
        <w:rPr>
          <w:sz w:val="20"/>
          <w:szCs w:val="20"/>
          <w:color w:val="auto"/>
        </w:rPr>
      </w:pPr>
    </w:p>
    <w:p>
      <w:pPr>
        <w:jc w:val="both"/>
        <w:ind w:left="660" w:hanging="652"/>
        <w:spacing w:after="0" w:line="254" w:lineRule="auto"/>
        <w:tabs>
          <w:tab w:leader="none" w:pos="660" w:val="left"/>
        </w:tabs>
        <w:numPr>
          <w:ilvl w:val="0"/>
          <w:numId w:val="8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Director or the Secretary or any person appointed by the Board for the purpose may authenticate any documents affecting the constitution of the Company and any resolution passed by the Company or the Board or any committee, and any books, records, documents and accounts relating to the business of the Company, and to certify copies thereof or extracts therefrom as true copies or extracts, and if any books, records, documents or accounts are elsewhere than at the Office or the head office the local manager or other officer of the Company having the custody thereof shall be deemed to be a person so appointed by the Board. A document purporting to be a copy of a resolution, or an extract from the minutes of a meeting, of the Company or of the Board or any committee which is so certified shall be conclusive evidence in favour of all persons dealing with the Company upon the faith thereof that such resolution has been duly passed or, as the case may be, that such minutes or extract is a true and accurate record of proceedings at a duly constituted meeting.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31F20"/>
        </w:rPr>
        <w:t>DESTRUCTION OF DOCUMENTS</w:t>
      </w:r>
    </w:p>
    <w:p>
      <w:pPr>
        <w:spacing w:after="0" w:line="229"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(1)The Company shall be entitled to destroy the following documents at the following times:</w:t>
      </w:r>
    </w:p>
    <w:p>
      <w:pPr>
        <w:spacing w:after="0" w:line="225" w:lineRule="exact"/>
        <w:rPr>
          <w:rFonts w:ascii="Times New Roman" w:cs="Times New Roman" w:eastAsia="Times New Roman" w:hAnsi="Times New Roman"/>
          <w:sz w:val="18"/>
          <w:szCs w:val="18"/>
          <w:color w:val="231F20"/>
        </w:rPr>
      </w:pPr>
    </w:p>
    <w:p>
      <w:pPr>
        <w:ind w:left="1960" w:hanging="656"/>
        <w:spacing w:after="0"/>
        <w:tabs>
          <w:tab w:leader="none" w:pos="1960" w:val="left"/>
        </w:tabs>
        <w:numPr>
          <w:ilvl w:val="1"/>
          <w:numId w:val="8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share certificate which has been cancelled at any time after the expiry of one (1) year from the date of such cancellation;</w:t>
      </w:r>
    </w:p>
    <w:p>
      <w:pPr>
        <w:spacing w:after="0" w:line="225" w:lineRule="exact"/>
        <w:rPr>
          <w:rFonts w:ascii="Times New Roman" w:cs="Times New Roman" w:eastAsia="Times New Roman" w:hAnsi="Times New Roman"/>
          <w:sz w:val="18"/>
          <w:szCs w:val="18"/>
          <w:color w:val="231F20"/>
        </w:rPr>
      </w:pPr>
    </w:p>
    <w:p>
      <w:pPr>
        <w:ind w:left="1960" w:hanging="656"/>
        <w:spacing w:after="0" w:line="282" w:lineRule="auto"/>
        <w:tabs>
          <w:tab w:leader="none" w:pos="1960" w:val="left"/>
        </w:tabs>
        <w:numPr>
          <w:ilvl w:val="1"/>
          <w:numId w:val="8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dividend mandate or any variation or cancellation thereof or any notification of change of name or address at any time after the expiry of two (2) years from the date such mandate variation cancellation or notification was recorded by the Company;</w:t>
      </w:r>
    </w:p>
    <w:p>
      <w:pPr>
        <w:spacing w:after="0" w:line="161" w:lineRule="exact"/>
        <w:rPr>
          <w:rFonts w:ascii="Times New Roman" w:cs="Times New Roman" w:eastAsia="Times New Roman" w:hAnsi="Times New Roman"/>
          <w:sz w:val="18"/>
          <w:szCs w:val="18"/>
          <w:color w:val="231F20"/>
        </w:rPr>
      </w:pPr>
    </w:p>
    <w:p>
      <w:pPr>
        <w:ind w:left="1960" w:right="20" w:hanging="656"/>
        <w:spacing w:after="0" w:line="282" w:lineRule="auto"/>
        <w:tabs>
          <w:tab w:leader="none" w:pos="1960" w:val="left"/>
        </w:tabs>
        <w:numPr>
          <w:ilvl w:val="1"/>
          <w:numId w:val="8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instrument of transfer of shares which has been registered at any time after the expiry of seven (7) years from the date of registration;</w:t>
      </w:r>
    </w:p>
    <w:p>
      <w:pPr>
        <w:spacing w:after="0" w:line="161" w:lineRule="exact"/>
        <w:rPr>
          <w:rFonts w:ascii="Times New Roman" w:cs="Times New Roman" w:eastAsia="Times New Roman" w:hAnsi="Times New Roman"/>
          <w:sz w:val="18"/>
          <w:szCs w:val="18"/>
          <w:color w:val="231F20"/>
        </w:rPr>
      </w:pPr>
    </w:p>
    <w:p>
      <w:pPr>
        <w:ind w:left="1960" w:hanging="656"/>
        <w:spacing w:after="0"/>
        <w:tabs>
          <w:tab w:leader="none" w:pos="1960" w:val="left"/>
        </w:tabs>
        <w:numPr>
          <w:ilvl w:val="1"/>
          <w:numId w:val="8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allotment letters after the expiry of seven (7) years from the date of issue thereof; and</w:t>
      </w:r>
    </w:p>
    <w:p>
      <w:pPr>
        <w:spacing w:after="0" w:line="225" w:lineRule="exact"/>
        <w:rPr>
          <w:rFonts w:ascii="Times New Roman" w:cs="Times New Roman" w:eastAsia="Times New Roman" w:hAnsi="Times New Roman"/>
          <w:sz w:val="18"/>
          <w:szCs w:val="18"/>
          <w:color w:val="231F20"/>
        </w:rPr>
      </w:pPr>
    </w:p>
    <w:p>
      <w:pPr>
        <w:ind w:left="1960" w:hanging="656"/>
        <w:spacing w:after="0" w:line="282" w:lineRule="auto"/>
        <w:tabs>
          <w:tab w:leader="none" w:pos="1960" w:val="left"/>
        </w:tabs>
        <w:numPr>
          <w:ilvl w:val="1"/>
          <w:numId w:val="8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copies of powers of attorney, grants of probate and letters of administration at any time after the expiry of seven (7) years after the account to which the relevant power of attorney, grant of probate or letters of administration related has been closed;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left="1300"/>
        <w:spacing w:after="0" w:line="254" w:lineRule="auto"/>
        <w:rPr>
          <w:sz w:val="20"/>
          <w:szCs w:val="20"/>
          <w:color w:val="auto"/>
        </w:rPr>
      </w:pPr>
      <w:r>
        <w:rPr>
          <w:rFonts w:ascii="Times New Roman" w:cs="Times New Roman" w:eastAsia="Times New Roman" w:hAnsi="Times New Roman"/>
          <w:sz w:val="18"/>
          <w:szCs w:val="18"/>
          <w:color w:val="231F20"/>
        </w:rPr>
        <w:t>and it shall conclusively be presumed in favour of the Company that every entry in the Register purporting to be made on the basis of any such documents so destroyed was duly and properly made and every share certificate so destroyed was a valid certificate duly and properly cancelled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 (1) the foregoing provisions of this Article 133 shall apply only to the destruction of a document in good faith and without express notice to the Company that the preservation of such document was relevant to a claim; (2) nothing contained in this Article 133 shall be construed as imposing upon the Company any liability in respect of the destruction of any such document earlier than as aforesaid or in any case where the conditions of proviso (1) above are not fulfilled; and (3) references in this Article 133 to the destruction of any document include references to its disposal in any manner.</w:t>
      </w:r>
    </w:p>
    <w:p>
      <w:pPr>
        <w:spacing w:after="0" w:line="188" w:lineRule="exact"/>
        <w:rPr>
          <w:sz w:val="20"/>
          <w:szCs w:val="20"/>
          <w:color w:val="auto"/>
        </w:rPr>
      </w:pPr>
    </w:p>
    <w:p>
      <w:pPr>
        <w:jc w:val="both"/>
        <w:ind w:left="1300" w:hanging="644"/>
        <w:spacing w:after="0" w:line="258" w:lineRule="auto"/>
        <w:tabs>
          <w:tab w:leader="none" w:pos="1300" w:val="left"/>
        </w:tabs>
        <w:numPr>
          <w:ilvl w:val="0"/>
          <w:numId w:val="8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Notwithstanding any provision contained in these Articles, the Directors may, if permitted by applicable law, authorise the destruction of documents set out in sub-paragraphs (a) to (e) of paragraph (1) of this Article 133 and any other documents in relation to share registration which have been microfilmed or electronically stored by the Company or by the share registrar on its behalf provided always that this Article shall apply only to the destruction of a document in good faith and without express notice to the Company and its share registrar that the preservation of such document was relevant to a claim.</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31F20"/>
        </w:rPr>
        <w:t>DIVIDENDS AND OTHER PAYMENTS</w:t>
      </w:r>
    </w:p>
    <w:p>
      <w:pPr>
        <w:spacing w:after="0" w:line="229"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the Act, the Board may from time to time declare dividends in any currency to be paid to the Members.</w:t>
      </w:r>
    </w:p>
    <w:p>
      <w:pPr>
        <w:spacing w:after="0" w:line="225" w:lineRule="exact"/>
        <w:rPr>
          <w:rFonts w:ascii="Times New Roman" w:cs="Times New Roman" w:eastAsia="Times New Roman" w:hAnsi="Times New Roman"/>
          <w:sz w:val="18"/>
          <w:szCs w:val="18"/>
          <w:color w:val="231F20"/>
        </w:rPr>
      </w:pPr>
    </w:p>
    <w:p>
      <w:pPr>
        <w:jc w:val="both"/>
        <w:ind w:left="660" w:hanging="652"/>
        <w:spacing w:after="0" w:line="266" w:lineRule="auto"/>
        <w:tabs>
          <w:tab w:leader="none" w:pos="660" w:val="left"/>
        </w:tabs>
        <w:numPr>
          <w:ilvl w:val="0"/>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Dividends may be declared and paid out of the profits of the Company, realised or unrealised, or from any reserve set aside from profits which the Directors determine is no longer needed. The Board may also declare and pay dividends out of share premium account or any other fund or account which can be authorised for this purpose in accordance with the Act.</w:t>
      </w:r>
    </w:p>
    <w:p>
      <w:pPr>
        <w:spacing w:after="0" w:line="175" w:lineRule="exact"/>
        <w:rPr>
          <w:rFonts w:ascii="Times New Roman" w:cs="Times New Roman" w:eastAsia="Times New Roman" w:hAnsi="Times New Roman"/>
          <w:sz w:val="18"/>
          <w:szCs w:val="18"/>
          <w:color w:val="231F20"/>
        </w:rPr>
      </w:pPr>
    </w:p>
    <w:p>
      <w:pPr>
        <w:ind w:left="660" w:hanging="652"/>
        <w:spacing w:after="0"/>
        <w:tabs>
          <w:tab w:leader="none" w:pos="660" w:val="left"/>
        </w:tabs>
        <w:numPr>
          <w:ilvl w:val="0"/>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Except in so far as the rights attaching to, or the terms of issue of, any share otherwise provide:</w:t>
      </w:r>
    </w:p>
    <w:p>
      <w:pPr>
        <w:spacing w:after="0" w:line="225" w:lineRule="exact"/>
        <w:rPr>
          <w:rFonts w:ascii="Times New Roman" w:cs="Times New Roman" w:eastAsia="Times New Roman" w:hAnsi="Times New Roman"/>
          <w:sz w:val="18"/>
          <w:szCs w:val="18"/>
          <w:color w:val="231F20"/>
        </w:rPr>
      </w:pPr>
    </w:p>
    <w:p>
      <w:pPr>
        <w:ind w:left="1300" w:hanging="644"/>
        <w:spacing w:after="0" w:line="282" w:lineRule="auto"/>
        <w:tabs>
          <w:tab w:leader="none" w:pos="1300" w:val="left"/>
        </w:tabs>
        <w:numPr>
          <w:ilvl w:val="1"/>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dividends shall be declared and paid according to the amounts paid up on the shares in respect of which the dividend is paid, but no amount paid up on a share in advance of calls shall be treated for the purposes of this Article as paid up on the share; and</w:t>
      </w:r>
    </w:p>
    <w:p>
      <w:pPr>
        <w:spacing w:after="0" w:line="161" w:lineRule="exact"/>
        <w:rPr>
          <w:rFonts w:ascii="Times New Roman" w:cs="Times New Roman" w:eastAsia="Times New Roman" w:hAnsi="Times New Roman"/>
          <w:sz w:val="18"/>
          <w:szCs w:val="18"/>
          <w:color w:val="231F20"/>
        </w:rPr>
      </w:pPr>
    </w:p>
    <w:p>
      <w:pPr>
        <w:ind w:left="1300" w:hanging="644"/>
        <w:spacing w:after="0" w:line="282" w:lineRule="auto"/>
        <w:tabs>
          <w:tab w:leader="none" w:pos="1300" w:val="left"/>
        </w:tabs>
        <w:numPr>
          <w:ilvl w:val="1"/>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dividends shall be apportioned and paid pro rata according to the amounts paid up on the shares during any portion or portions of the period in respect of which the dividend is paid.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left="652" w:hanging="652"/>
        <w:spacing w:after="0" w:line="254" w:lineRule="auto"/>
        <w:tabs>
          <w:tab w:leader="none" w:pos="652" w:val="left"/>
        </w:tabs>
        <w:numPr>
          <w:ilvl w:val="0"/>
          <w:numId w:val="8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from time to time pay to the Members such interim dividends as appear to the Board to be justified by the profits of the Company and in particular (but without prejudice to the generality of the foregoing) if at any time the share capital of the Company is divided into different classes, the Board may pay such interim dividends in respect of those shares in the capital of the Company which confer on the holders thereof deferred or non-preferential rights as well as in respect of those shares which confer on the holders thereof preferential rights with regard to dividend and provided that the Board acts bona fide the Board shall not incur any responsibility to the holders of shares conferring any preference for any damage that they may suffer by reason of the payment of an interim dividend on any shares having deferred or non-preferential rights and may also pay any fixed dividend which is payable on any shares of the Company half-yearly or on any other dates, whenever such profits, in the opinion of the Board, justifies such payment.</w:t>
      </w:r>
    </w:p>
    <w:p>
      <w:pPr>
        <w:spacing w:after="0" w:line="191" w:lineRule="exact"/>
        <w:rPr>
          <w:rFonts w:ascii="Times New Roman" w:cs="Times New Roman" w:eastAsia="Times New Roman" w:hAnsi="Times New Roman"/>
          <w:sz w:val="18"/>
          <w:szCs w:val="18"/>
          <w:color w:val="231F20"/>
        </w:rPr>
      </w:pPr>
    </w:p>
    <w:p>
      <w:pPr>
        <w:ind w:left="652" w:right="20" w:hanging="652"/>
        <w:spacing w:after="0" w:line="282" w:lineRule="auto"/>
        <w:tabs>
          <w:tab w:leader="none" w:pos="652" w:val="left"/>
        </w:tabs>
        <w:numPr>
          <w:ilvl w:val="0"/>
          <w:numId w:val="8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deduct from any dividend or other moneys payable to a Member by the Company on or in respect of any shares all sums of money (if any) presently payable by him to the Company on account of calls or otherwise.</w:t>
      </w:r>
    </w:p>
    <w:p>
      <w:pPr>
        <w:spacing w:after="0" w:line="161" w:lineRule="exact"/>
        <w:rPr>
          <w:rFonts w:ascii="Times New Roman" w:cs="Times New Roman" w:eastAsia="Times New Roman" w:hAnsi="Times New Roman"/>
          <w:sz w:val="18"/>
          <w:szCs w:val="18"/>
          <w:color w:val="231F20"/>
        </w:rPr>
      </w:pPr>
    </w:p>
    <w:p>
      <w:pPr>
        <w:ind w:left="652" w:hanging="652"/>
        <w:spacing w:after="0"/>
        <w:tabs>
          <w:tab w:leader="none" w:pos="652" w:val="left"/>
        </w:tabs>
        <w:numPr>
          <w:ilvl w:val="0"/>
          <w:numId w:val="8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 dividend or other moneys payable by the Company on or in respect of any share shall bear interest against the Company.</w:t>
      </w:r>
    </w:p>
    <w:p>
      <w:pPr>
        <w:spacing w:after="0" w:line="225" w:lineRule="exact"/>
        <w:rPr>
          <w:rFonts w:ascii="Times New Roman" w:cs="Times New Roman" w:eastAsia="Times New Roman" w:hAnsi="Times New Roman"/>
          <w:sz w:val="18"/>
          <w:szCs w:val="18"/>
          <w:color w:val="231F20"/>
        </w:rPr>
      </w:pPr>
    </w:p>
    <w:p>
      <w:pPr>
        <w:jc w:val="both"/>
        <w:ind w:left="652" w:hanging="652"/>
        <w:spacing w:after="0" w:line="254" w:lineRule="auto"/>
        <w:tabs>
          <w:tab w:leader="none" w:pos="652" w:val="left"/>
        </w:tabs>
        <w:numPr>
          <w:ilvl w:val="0"/>
          <w:numId w:val="8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dividend, interest or other sum payable in cash to the holder of shares may be paid by cheque or warrant sent through the post addressed to the holder at his registered address or, in the case of joint holders, addressed to the holder whose name stands first in the Register in respect of the shares at his address as appearing in the Register or addressed to such person and at such address as the holder or joint holders may in writing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the Company notwithstanding that it may subsequently appear that the same has been stolen or that any endorsement thereon has been forged. Any one of two or more joint holders may give effectual receipts for any dividends or other moneys payable or property distributable in respect of the shares held by such joint holders.</w:t>
      </w:r>
    </w:p>
    <w:p>
      <w:pPr>
        <w:spacing w:after="0" w:line="191" w:lineRule="exact"/>
        <w:rPr>
          <w:rFonts w:ascii="Times New Roman" w:cs="Times New Roman" w:eastAsia="Times New Roman" w:hAnsi="Times New Roman"/>
          <w:sz w:val="18"/>
          <w:szCs w:val="18"/>
          <w:color w:val="231F20"/>
        </w:rPr>
      </w:pPr>
    </w:p>
    <w:p>
      <w:pPr>
        <w:jc w:val="both"/>
        <w:ind w:left="652" w:hanging="652"/>
        <w:spacing w:after="0" w:line="261" w:lineRule="auto"/>
        <w:tabs>
          <w:tab w:leader="none" w:pos="652" w:val="left"/>
        </w:tabs>
        <w:numPr>
          <w:ilvl w:val="0"/>
          <w:numId w:val="8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dividends or bonuses unclaimed for one (1) year after having been declared may be invested or otherwise made use of by the Board for the benefit of the Company until claimed. Any dividend or bonuses unclaimed after a period of six (6) years from the date of declaration shall be forfeited and shall revert to the Company. The payment by the Board of any unclaimed dividend or other sums payable on or in respect of a share into a separate account shall not constitute the Company a trustee in respect thereof.</w:t>
      </w:r>
    </w:p>
    <w:p>
      <w:pPr>
        <w:spacing w:after="0" w:line="39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55" w:name="page56"/>
    <w:bookmarkEnd w:id="55"/>
    <w:p>
      <w:pPr>
        <w:jc w:val="both"/>
        <w:ind w:left="652" w:hanging="652"/>
        <w:spacing w:after="0" w:line="253" w:lineRule="auto"/>
        <w:tabs>
          <w:tab w:leader="none" w:pos="652" w:val="left"/>
        </w:tabs>
        <w:numPr>
          <w:ilvl w:val="0"/>
          <w:numId w:val="8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Whenever the Board has resolved that a dividend be paid or declared, the Board may further resolve that such dividend be satisfied wholly or in part by the distribution of specific assets of any kind and in particular of paid up shares, debentures or warrants to subscribe securities of the Company or any other company, or in any one or more of such ways, and where any difficulty arises in regard to the distribution the Board may settle the same as it thinks expedient, and in particular may issue certificates in respect of fractions of shares, disregard fractional entitlements or round the same up or down, and may fix the value for distribution of such specific assets, or any part thereof, and may determine that cash payments shall be made to any Members upon the basis of the value so fixed in order to adjust the rights of all parties, and may vest any such specific assets in trustees as may seem expedient to the Board and may appoint any person to sign any requisite instruments of transfer and other documents on behalf of the persons entitled to the dividend, and such appointment shall be effective and binding on the Members. The Board may resolve that no such assets shall be made available to Members with registered addresses in any particular territory or territories where, in the absence of a registration statement or other special formalities, such distribution of assets would or might, in the opinion of the Board, be unlawful or impracticable and in such event the only entitlement of the Members aforesaid shall be to receive cash payments as aforesaid. Members affected as a result of the foregoing sentence shall not be or be deemed to be a separate class of Members for any purpose whatsoever.</w:t>
      </w:r>
    </w:p>
    <w:p>
      <w:pPr>
        <w:spacing w:after="0" w:line="189" w:lineRule="exact"/>
        <w:rPr>
          <w:rFonts w:ascii="Times New Roman" w:cs="Times New Roman" w:eastAsia="Times New Roman" w:hAnsi="Times New Roman"/>
          <w:sz w:val="18"/>
          <w:szCs w:val="18"/>
          <w:color w:val="231F20"/>
        </w:rPr>
      </w:pPr>
    </w:p>
    <w:p>
      <w:pPr>
        <w:ind w:left="1292" w:hanging="1292"/>
        <w:spacing w:after="0" w:line="282" w:lineRule="auto"/>
        <w:tabs>
          <w:tab w:leader="none" w:pos="644" w:val="left"/>
        </w:tabs>
        <w:numPr>
          <w:ilvl w:val="0"/>
          <w:numId w:val="8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(1)Whenever the Board has resolved that a dividend be paid or declared on any class of the share capital of the Company, the Board may further resolve either:</w:t>
      </w:r>
    </w:p>
    <w:p>
      <w:pPr>
        <w:spacing w:after="0" w:line="161" w:lineRule="exact"/>
        <w:rPr>
          <w:rFonts w:ascii="Times New Roman" w:cs="Times New Roman" w:eastAsia="Times New Roman" w:hAnsi="Times New Roman"/>
          <w:sz w:val="18"/>
          <w:szCs w:val="18"/>
          <w:color w:val="231F20"/>
        </w:rPr>
      </w:pPr>
    </w:p>
    <w:p>
      <w:pPr>
        <w:jc w:val="both"/>
        <w:ind w:left="1952" w:hanging="656"/>
        <w:spacing w:after="0" w:line="266" w:lineRule="auto"/>
        <w:tabs>
          <w:tab w:leader="none" w:pos="1952" w:val="left"/>
        </w:tabs>
        <w:numPr>
          <w:ilvl w:val="1"/>
          <w:numId w:val="8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that such dividend be satisfied wholly or in part in the form of an allotment of shares credited as fully paid up, provided that the Members entitled thereto will be entitled to elect to receive such dividend (or part thereof if the Board so determines) in cash in lieu of such allotment. In such case, the following provisions shall apply:</w:t>
      </w:r>
    </w:p>
    <w:p>
      <w:pPr>
        <w:spacing w:after="0" w:line="175" w:lineRule="exact"/>
        <w:rPr>
          <w:rFonts w:ascii="Times New Roman" w:cs="Times New Roman" w:eastAsia="Times New Roman" w:hAnsi="Times New Roman"/>
          <w:sz w:val="18"/>
          <w:szCs w:val="18"/>
          <w:color w:val="231F20"/>
        </w:rPr>
      </w:pPr>
    </w:p>
    <w:p>
      <w:pPr>
        <w:ind w:left="2592" w:hanging="648"/>
        <w:spacing w:after="0"/>
        <w:tabs>
          <w:tab w:leader="none" w:pos="2592" w:val="left"/>
        </w:tabs>
        <w:numPr>
          <w:ilvl w:val="2"/>
          <w:numId w:val="8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basis of any such allotment shall be determined by the Board;</w:t>
      </w:r>
    </w:p>
    <w:p>
      <w:pPr>
        <w:spacing w:after="0" w:line="225" w:lineRule="exact"/>
        <w:rPr>
          <w:rFonts w:ascii="Times New Roman" w:cs="Times New Roman" w:eastAsia="Times New Roman" w:hAnsi="Times New Roman"/>
          <w:sz w:val="18"/>
          <w:szCs w:val="18"/>
          <w:color w:val="231F20"/>
        </w:rPr>
      </w:pPr>
    </w:p>
    <w:p>
      <w:pPr>
        <w:jc w:val="both"/>
        <w:ind w:left="2592" w:hanging="648"/>
        <w:spacing w:after="0" w:line="261" w:lineRule="auto"/>
        <w:tabs>
          <w:tab w:leader="none" w:pos="2592" w:val="left"/>
        </w:tabs>
        <w:numPr>
          <w:ilvl w:val="2"/>
          <w:numId w:val="8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after determining the basis of allotment, shall give not less than ten (10) days’ Notice to the holders of the relevant shares of the right of election accorded to them and shall send with such notice forms of election and specify the procedure to be followed and the place at which and the latest date and time by which duly completed forms of election must be lodged in order to be effective;</w:t>
      </w:r>
    </w:p>
    <w:p>
      <w:pPr>
        <w:spacing w:after="0" w:line="179" w:lineRule="exact"/>
        <w:rPr>
          <w:rFonts w:ascii="Times New Roman" w:cs="Times New Roman" w:eastAsia="Times New Roman" w:hAnsi="Times New Roman"/>
          <w:sz w:val="18"/>
          <w:szCs w:val="18"/>
          <w:color w:val="231F20"/>
        </w:rPr>
      </w:pPr>
    </w:p>
    <w:p>
      <w:pPr>
        <w:ind w:left="2592" w:hanging="648"/>
        <w:spacing w:after="0" w:line="282" w:lineRule="auto"/>
        <w:tabs>
          <w:tab w:leader="none" w:pos="2592" w:val="left"/>
        </w:tabs>
        <w:numPr>
          <w:ilvl w:val="2"/>
          <w:numId w:val="8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right of election may be exercised in respect of the whole or part of that portion of the dividend in respect of which the right of election has been accorded; and</w:t>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56" w:name="page57"/>
    <w:bookmarkEnd w:id="56"/>
    <w:p>
      <w:pPr>
        <w:jc w:val="both"/>
        <w:ind w:left="1480" w:hanging="648"/>
        <w:spacing w:after="0" w:line="254" w:lineRule="auto"/>
        <w:tabs>
          <w:tab w:leader="none" w:pos="1480" w:val="left"/>
        </w:tabs>
        <w:numPr>
          <w:ilvl w:val="1"/>
          <w:numId w:val="8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dividend (or that part of the dividend to be satisfied by the allotment of shares as aforesaid) shall not be payable in cash on shares in respect whereof the cash election has not been duly exercised (“the non-elected shares”) and in satisfaction thereof shares of the relevant class shall be allotted credited as fully paid up to the holders of the non-elected shares on the basis of allotment determined as aforesaid and for such purpose the Board shall capitalise and apply out of any part of the undivided profits of the Company (including profits carried and standing to the credit of any reserves or other special account, share premium account, capital redemption reserve) as the Board may determine, such sum as may be required to pay up in full the appropriate number of shares of the relevant class for allotment and distribution to and amongst the holders of the non-elected shares on such basis; or</w:t>
      </w:r>
    </w:p>
    <w:p>
      <w:pPr>
        <w:spacing w:after="0" w:line="191" w:lineRule="exact"/>
        <w:rPr>
          <w:rFonts w:ascii="Times New Roman" w:cs="Times New Roman" w:eastAsia="Times New Roman" w:hAnsi="Times New Roman"/>
          <w:sz w:val="18"/>
          <w:szCs w:val="18"/>
          <w:color w:val="231F20"/>
        </w:rPr>
      </w:pPr>
    </w:p>
    <w:p>
      <w:pPr>
        <w:ind w:left="840" w:hanging="656"/>
        <w:spacing w:after="0" w:line="282" w:lineRule="auto"/>
        <w:tabs>
          <w:tab w:leader="none" w:pos="840" w:val="left"/>
        </w:tabs>
        <w:numPr>
          <w:ilvl w:val="0"/>
          <w:numId w:val="8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that the Members entitled to such dividend shall be entitled to elect to receive an allotment of shares credited as fully paid up in lieu of the whole or such part of the dividend as the Board may think fit. In such case, the following provisions shall apply:</w:t>
      </w:r>
    </w:p>
    <w:p>
      <w:pPr>
        <w:spacing w:after="0" w:line="161" w:lineRule="exact"/>
        <w:rPr>
          <w:rFonts w:ascii="Times New Roman" w:cs="Times New Roman" w:eastAsia="Times New Roman" w:hAnsi="Times New Roman"/>
          <w:sz w:val="18"/>
          <w:szCs w:val="18"/>
          <w:color w:val="231F20"/>
        </w:rPr>
      </w:pPr>
    </w:p>
    <w:p>
      <w:pPr>
        <w:ind w:left="1480" w:hanging="648"/>
        <w:spacing w:after="0"/>
        <w:tabs>
          <w:tab w:leader="none" w:pos="1480" w:val="left"/>
        </w:tabs>
        <w:numPr>
          <w:ilvl w:val="1"/>
          <w:numId w:val="8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basis of any such allotment shall be determined by the Board;</w:t>
      </w:r>
    </w:p>
    <w:p>
      <w:pPr>
        <w:spacing w:after="0" w:line="225" w:lineRule="exact"/>
        <w:rPr>
          <w:rFonts w:ascii="Times New Roman" w:cs="Times New Roman" w:eastAsia="Times New Roman" w:hAnsi="Times New Roman"/>
          <w:sz w:val="18"/>
          <w:szCs w:val="18"/>
          <w:color w:val="231F20"/>
        </w:rPr>
      </w:pPr>
    </w:p>
    <w:p>
      <w:pPr>
        <w:jc w:val="both"/>
        <w:ind w:left="1480" w:hanging="648"/>
        <w:spacing w:after="0" w:line="261" w:lineRule="auto"/>
        <w:tabs>
          <w:tab w:leader="none" w:pos="1480" w:val="left"/>
        </w:tabs>
        <w:numPr>
          <w:ilvl w:val="1"/>
          <w:numId w:val="8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after determining the basis of allotment, shall give not less than ten (10) days’ Notice to the holders of the relevant shares of the right of election accorded to them and shall send with such notice forms of election and specify the procedure to be followed and the place at which and the latest date and time by which duly completed forms of election must be lodged in order to be effective;</w:t>
      </w:r>
    </w:p>
    <w:p>
      <w:pPr>
        <w:spacing w:after="0" w:line="179" w:lineRule="exact"/>
        <w:rPr>
          <w:rFonts w:ascii="Times New Roman" w:cs="Times New Roman" w:eastAsia="Times New Roman" w:hAnsi="Times New Roman"/>
          <w:sz w:val="18"/>
          <w:szCs w:val="18"/>
          <w:color w:val="231F20"/>
        </w:rPr>
      </w:pPr>
    </w:p>
    <w:p>
      <w:pPr>
        <w:ind w:left="1480" w:hanging="648"/>
        <w:spacing w:after="0" w:line="282" w:lineRule="auto"/>
        <w:tabs>
          <w:tab w:leader="none" w:pos="1480" w:val="left"/>
        </w:tabs>
        <w:numPr>
          <w:ilvl w:val="1"/>
          <w:numId w:val="8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right of election may be exercised in respect of the whole or part of that portion of the dividend in respect of which the right of election has been accorded; and</w:t>
      </w:r>
    </w:p>
    <w:p>
      <w:pPr>
        <w:spacing w:after="0" w:line="161" w:lineRule="exact"/>
        <w:rPr>
          <w:rFonts w:ascii="Times New Roman" w:cs="Times New Roman" w:eastAsia="Times New Roman" w:hAnsi="Times New Roman"/>
          <w:sz w:val="18"/>
          <w:szCs w:val="18"/>
          <w:color w:val="231F20"/>
        </w:rPr>
      </w:pPr>
    </w:p>
    <w:p>
      <w:pPr>
        <w:jc w:val="both"/>
        <w:ind w:left="1480" w:hanging="648"/>
        <w:spacing w:after="0" w:line="254" w:lineRule="auto"/>
        <w:tabs>
          <w:tab w:leader="none" w:pos="1480" w:val="left"/>
        </w:tabs>
        <w:numPr>
          <w:ilvl w:val="1"/>
          <w:numId w:val="8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dividend (or that part of the dividend in respect of which a right of election has been accorded) shall not be payable in cash on shares in respect whereof the share election has been duly exercised (“the elected shares”) and in lieu thereof shares of the relevant class shall be allotted credited as fully paid up to the holders of the elected shares on the basis of allotment determined as aforesaid and for such purpose the Board shall capitalise and apply out of any part of the undivided profits of the Company (including profits carried and standing to the credit of any reserves or other special account, share premium account, capital redemption reserve) as the Board may determine, such sum as may be required to pay up in full the appropriate number of shares of the relevant class for allotment and distribution to and amongst the holders of the elected shares on such basis.</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7" w:name="page58"/>
    <w:bookmarkEnd w:id="57"/>
    <w:p>
      <w:pPr>
        <w:ind w:left="1304" w:hanging="1304"/>
        <w:spacing w:after="0" w:line="273" w:lineRule="auto"/>
        <w:tabs>
          <w:tab w:leader="none" w:pos="656" w:val="left"/>
        </w:tabs>
        <w:numPr>
          <w:ilvl w:val="0"/>
          <w:numId w:val="9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w:t>
      </w:r>
      <w:r>
        <w:rPr>
          <w:rFonts w:ascii="Times New Roman" w:cs="Times New Roman" w:eastAsia="Times New Roman" w:hAnsi="Times New Roman"/>
          <w:sz w:val="17"/>
          <w:szCs w:val="17"/>
          <w:color w:val="231F20"/>
        </w:rPr>
        <w:t xml:space="preserve">The shares allotted pursuant to the provisions of paragraph (1) of this Article 144 shall rank </w:t>
      </w:r>
      <w:r>
        <w:rPr>
          <w:rFonts w:ascii="Times New Roman" w:cs="Times New Roman" w:eastAsia="Times New Roman" w:hAnsi="Times New Roman"/>
          <w:sz w:val="17"/>
          <w:szCs w:val="17"/>
          <w:i w:val="1"/>
          <w:iCs w:val="1"/>
          <w:color w:val="231F20"/>
        </w:rPr>
        <w:t>pari passu</w:t>
      </w:r>
      <w:r>
        <w:rPr>
          <w:rFonts w:ascii="Times New Roman" w:cs="Times New Roman" w:eastAsia="Times New Roman" w:hAnsi="Times New Roman"/>
          <w:sz w:val="17"/>
          <w:szCs w:val="17"/>
          <w:color w:val="231F20"/>
        </w:rPr>
        <w:t xml:space="preserve"> in all respects with shares of the same class (if any) then in issue save only as regards participation in the relevant dividend or in any other distributions, bonuses or rights paid, made, declared or announced prior to or contemporaneously with the payment or declaration of the relevant dividend unless, contemporaneously with the announcement by the Board of their proposal to apply the provisions of sub-paragraph (a) or (b) of paragraph (2) of this Article 144 in relation to the relevant dividend or contemporaneously with their announcement of the distribution, bonus or rights in question, the Board shall specify that the shares to be allotted pursuant to the provisions of paragraph (1) of this Article shall rank for participation in such distribution, bonus or rights.</w:t>
      </w:r>
    </w:p>
    <w:p>
      <w:pPr>
        <w:spacing w:after="0" w:line="173" w:lineRule="exact"/>
        <w:rPr>
          <w:rFonts w:ascii="Times New Roman" w:cs="Times New Roman" w:eastAsia="Times New Roman" w:hAnsi="Times New Roman"/>
          <w:sz w:val="18"/>
          <w:szCs w:val="18"/>
          <w:color w:val="231F20"/>
        </w:rPr>
      </w:pPr>
    </w:p>
    <w:p>
      <w:pPr>
        <w:jc w:val="both"/>
        <w:ind w:left="1304" w:hanging="656"/>
        <w:spacing w:after="0" w:line="255" w:lineRule="auto"/>
        <w:tabs>
          <w:tab w:leader="none" w:pos="1304" w:val="left"/>
        </w:tabs>
        <w:numPr>
          <w:ilvl w:val="1"/>
          <w:numId w:val="9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do all acts and things considered necessary or expedient to give effect to any capitalisation pursuant to the provisions of paragraph (1) of this Article 144, with full power to the Board to make such provisions as it thinks fit in the case of shares becoming distributable in fractions (including provisions whereby, in whole or in part, fractional entitlements are aggregated and sold and the net proceeds distributed to those entitled, or are disregarded or rounded up or down or whereby the benefit of fractional entitlements accrues to the Company rather than to the Members concerned). The Board may authorise any person to enter into on behalf of all Members interested, an agreement with the Company providing for such capitalisation and matters incidental thereto and any agreement made pursuant to such authority shall be effective and binding on all concerned.</w:t>
      </w:r>
    </w:p>
    <w:p>
      <w:pPr>
        <w:spacing w:after="0" w:line="188" w:lineRule="exact"/>
        <w:rPr>
          <w:rFonts w:ascii="Times New Roman" w:cs="Times New Roman" w:eastAsia="Times New Roman" w:hAnsi="Times New Roman"/>
          <w:sz w:val="18"/>
          <w:szCs w:val="18"/>
          <w:color w:val="231F20"/>
        </w:rPr>
      </w:pPr>
    </w:p>
    <w:p>
      <w:pPr>
        <w:jc w:val="both"/>
        <w:ind w:left="644" w:hanging="644"/>
        <w:spacing w:after="0" w:line="266" w:lineRule="auto"/>
        <w:tabs>
          <w:tab w:leader="none" w:pos="644" w:val="left"/>
        </w:tabs>
        <w:numPr>
          <w:ilvl w:val="0"/>
          <w:numId w:val="9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determine and resolve in respect of any one particular dividend of the Company that notwithstanding the provisions of paragraph (1) of this Article 144 a dividend may be satisfied wholly in the form of an allotment of shares credited as fully paid up without offering any right to shareholders to elect to receive such dividend in cash in lieu of such allotment.</w:t>
      </w:r>
    </w:p>
    <w:p>
      <w:pPr>
        <w:spacing w:after="0" w:line="175" w:lineRule="exact"/>
        <w:rPr>
          <w:rFonts w:ascii="Times New Roman" w:cs="Times New Roman" w:eastAsia="Times New Roman" w:hAnsi="Times New Roman"/>
          <w:sz w:val="18"/>
          <w:szCs w:val="18"/>
          <w:color w:val="231F20"/>
        </w:rPr>
      </w:pPr>
    </w:p>
    <w:p>
      <w:pPr>
        <w:jc w:val="both"/>
        <w:ind w:left="644" w:hanging="644"/>
        <w:spacing w:after="0" w:line="256" w:lineRule="auto"/>
        <w:tabs>
          <w:tab w:leader="none" w:pos="644" w:val="left"/>
        </w:tabs>
        <w:numPr>
          <w:ilvl w:val="0"/>
          <w:numId w:val="9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on any occasion determine that rights of election and the allotment of shares under paragraph (1) of this Article 144 shall not be made available or made to any shareholders with registered addresses in any territory where, in the absence of a registration statement or other special formalities, the circulation of an offer of such rights of election or the allotment of shares would or might, in the opinion of the Board, be unlawful or impracticable, and in such event the provisions aforesaid shall be read and construed subject to such determination. Members affected as a result of the foregoing sentence shall not be or be deemed to be a separate class of Members for any purpose whatsoever.</w:t>
      </w:r>
    </w:p>
    <w:p>
      <w:pPr>
        <w:spacing w:after="0" w:line="187" w:lineRule="exact"/>
        <w:rPr>
          <w:rFonts w:ascii="Times New Roman" w:cs="Times New Roman" w:eastAsia="Times New Roman" w:hAnsi="Times New Roman"/>
          <w:sz w:val="18"/>
          <w:szCs w:val="18"/>
          <w:color w:val="231F20"/>
        </w:rPr>
      </w:pPr>
    </w:p>
    <w:p>
      <w:pPr>
        <w:jc w:val="both"/>
        <w:ind w:left="644" w:hanging="644"/>
        <w:spacing w:after="0" w:line="256" w:lineRule="auto"/>
        <w:tabs>
          <w:tab w:leader="none" w:pos="644" w:val="left"/>
        </w:tabs>
        <w:numPr>
          <w:ilvl w:val="0"/>
          <w:numId w:val="9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Any resolution declaring a dividend on shares of any class by the Board, may specify that the same shall be payable or distributable to the persons registered as the holders of such shares at the close of business on a particular date, notwithstanding that it may be a date prior to that on which the resolution is passed, and thereupon the dividend shall be payable or distributable to them in accordance with their respective holdings so registered, but without prejudice to the rights inter se in respect of such dividend of transferors and transferees of any such shares. The provisions of this Article shall </w:t>
      </w:r>
      <w:r>
        <w:rPr>
          <w:rFonts w:ascii="Times New Roman" w:cs="Times New Roman" w:eastAsia="Times New Roman" w:hAnsi="Times New Roman"/>
          <w:sz w:val="18"/>
          <w:szCs w:val="18"/>
          <w:i w:val="1"/>
          <w:iCs w:val="1"/>
          <w:color w:val="231F20"/>
        </w:rPr>
        <w:t>mutatis mutandis</w:t>
      </w:r>
      <w:r>
        <w:rPr>
          <w:rFonts w:ascii="Times New Roman" w:cs="Times New Roman" w:eastAsia="Times New Roman" w:hAnsi="Times New Roman"/>
          <w:sz w:val="18"/>
          <w:szCs w:val="18"/>
          <w:color w:val="231F20"/>
        </w:rPr>
        <w:t xml:space="preserve"> apply to bonuses, capitalisation issues, distributions of realised capital profits or offers or grants made by the Company to the Members.</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31F20"/>
        </w:rPr>
        <w:t>RESERVES</w:t>
      </w:r>
    </w:p>
    <w:p>
      <w:pPr>
        <w:spacing w:after="0" w:line="229" w:lineRule="exact"/>
        <w:rPr>
          <w:sz w:val="20"/>
          <w:szCs w:val="20"/>
          <w:color w:val="auto"/>
        </w:rPr>
      </w:pPr>
    </w:p>
    <w:p>
      <w:pPr>
        <w:ind w:left="1300" w:hanging="1292"/>
        <w:spacing w:after="0" w:line="261" w:lineRule="auto"/>
        <w:tabs>
          <w:tab w:leader="none" w:pos="652" w:val="left"/>
        </w:tabs>
        <w:numPr>
          <w:ilvl w:val="0"/>
          <w:numId w:val="9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(1)The Board shall establish an account to be called the share premium account and shall carry to the credit of such account from time to time a sum equal to the amount or value of the premium paid on the issue of any share in the Company. Unless otherwise provided by the provisions of these Articles, the Board may apply the share premium account in any manner permitted by the Act. The Company shall at all times comply with the provisions of the Act in relation to the share premium account.</w:t>
      </w:r>
    </w:p>
    <w:p>
      <w:pPr>
        <w:spacing w:after="0" w:line="179" w:lineRule="exact"/>
        <w:rPr>
          <w:rFonts w:ascii="Times New Roman" w:cs="Times New Roman" w:eastAsia="Times New Roman" w:hAnsi="Times New Roman"/>
          <w:sz w:val="18"/>
          <w:szCs w:val="18"/>
          <w:color w:val="231F20"/>
        </w:rPr>
      </w:pPr>
    </w:p>
    <w:p>
      <w:pPr>
        <w:jc w:val="both"/>
        <w:ind w:left="1300" w:hanging="644"/>
        <w:spacing w:after="0" w:line="256" w:lineRule="auto"/>
        <w:tabs>
          <w:tab w:leader="none" w:pos="1300" w:val="left"/>
        </w:tabs>
        <w:numPr>
          <w:ilvl w:val="1"/>
          <w:numId w:val="9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Before recommending any dividend, the Board may set aside out of the profits of the Company such sums as it determines as reserves which shall, at the discretion of the Board, be applicable for any purpose to which the profits of the Company may be properly applied and pending such application may, also at such discretion, either be employed in the business of the Company or be invested in such investments as the Board may from time to time think fit and so that it shall not be necessary to keep any investments constituting the reserve or reserves separate or distinct from any other investments of the Company. The Board may also without placing the same to reserve carry forward any profits which it may think prudent not to distribute.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31F20"/>
        </w:rPr>
        <w:t>CAPITALISATION</w:t>
      </w:r>
    </w:p>
    <w:p>
      <w:pPr>
        <w:spacing w:after="0" w:line="229" w:lineRule="exact"/>
        <w:rPr>
          <w:sz w:val="20"/>
          <w:szCs w:val="20"/>
          <w:color w:val="auto"/>
        </w:rPr>
      </w:pPr>
    </w:p>
    <w:p>
      <w:pPr>
        <w:jc w:val="both"/>
        <w:ind w:left="660" w:hanging="652"/>
        <w:spacing w:after="0" w:line="253" w:lineRule="auto"/>
        <w:tabs>
          <w:tab w:leader="none" w:pos="660" w:val="left"/>
        </w:tabs>
        <w:numPr>
          <w:ilvl w:val="0"/>
          <w:numId w:val="9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may, upon the recommendation of the Board, at any time and from time to time pass an ordinary resolution to the effect that it is desirable to capitalise all or any part of any amount for the time being standing to the credit of any reserve or fund (including a share premium account and capital redemption reserve and the profit and loss account) whether or not the same is available for distribution and accordingly that such amount be set free for distribution among the Members or any class of Members who would be entitled thereto if it were distributed by way of dividend and in the same proportions, on the basis that the same is not paid in cash but is applied either in or towards paying up the amounts for the time being unpaid on any shares in the Company held by such Members respectively or in paying up in full unissued shares, debentures or other obligations of the Company, to be allotted and distributed credited as fully paid up among such Members, or partly in one way and partly in the other, and the Board shall give effect to such resolution provided that, for the purposes of this Article 146, a share premium account and any capital redemption reserve or fund representing unrealised profits, may be applied only in paying up in full unissued shares of the Company to be allotted to such Members credited as fully paid.</w:t>
      </w:r>
    </w:p>
    <w:p>
      <w:pPr>
        <w:spacing w:after="0" w:line="194" w:lineRule="exact"/>
        <w:rPr>
          <w:rFonts w:ascii="Times New Roman" w:cs="Times New Roman" w:eastAsia="Times New Roman" w:hAnsi="Times New Roman"/>
          <w:sz w:val="18"/>
          <w:szCs w:val="18"/>
          <w:color w:val="231F20"/>
        </w:rPr>
      </w:pPr>
    </w:p>
    <w:p>
      <w:pPr>
        <w:jc w:val="both"/>
        <w:ind w:left="660" w:hanging="652"/>
        <w:spacing w:after="0" w:line="256" w:lineRule="auto"/>
        <w:tabs>
          <w:tab w:leader="none" w:pos="660" w:val="left"/>
        </w:tabs>
        <w:numPr>
          <w:ilvl w:val="0"/>
          <w:numId w:val="9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settle, as it considers appropriate, any difficulty arising in regard to any distribution under the Article 145 and in particular may issue certificates in respect of fractions of shares or authorise any person to sell and transfer any fractions or may resolve that the distribution should be as nearly as may be practicable in the correct proportion but not exactly so or may ignore fractions altogether, and may determine that cash payments shall be made to any Members in order to adjust the rights of all parties, as may seem expedient to the Board. The Board may appoint any person to sign on behalf of the persons entitled to participate in the distribution any contract necessary or desirable for giving effect thereto and such appointment shall be effective and binding upon the Members.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31F20"/>
        </w:rPr>
        <w:t>ACCOUNTING RECORDS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9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cause true accounts to be kept of the sums of money received and expended by the Company, and the matters in respect of which such receipt and expenditure take place, and of the property, assets, credits and liabilities of the Company and of all other matters required by the Act or necessary to give a true and fair view of the Company’s affairs and to explain its transactions.</w:t>
      </w:r>
    </w:p>
    <w:p>
      <w:pPr>
        <w:spacing w:after="0" w:line="175" w:lineRule="exact"/>
        <w:rPr>
          <w:rFonts w:ascii="Times New Roman" w:cs="Times New Roman" w:eastAsia="Times New Roman" w:hAnsi="Times New Roman"/>
          <w:sz w:val="18"/>
          <w:szCs w:val="18"/>
          <w:color w:val="231F20"/>
        </w:rPr>
      </w:pPr>
    </w:p>
    <w:p>
      <w:pPr>
        <w:jc w:val="both"/>
        <w:ind w:left="660" w:hanging="652"/>
        <w:spacing w:after="0" w:line="266" w:lineRule="auto"/>
        <w:tabs>
          <w:tab w:leader="none" w:pos="660" w:val="left"/>
        </w:tabs>
        <w:numPr>
          <w:ilvl w:val="0"/>
          <w:numId w:val="9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accounting records shall be kept at the Office or, at such other place or places as the Board decides and shall always be open to inspection by the Directors. No Member (other than a Director) shall have any right of inspecting any accounting record or book or document of the Company except as conferred by law or authorised by the Board or the Company in general meeting.</w:t>
      </w:r>
    </w:p>
    <w:p>
      <w:pPr>
        <w:spacing w:after="0" w:line="175" w:lineRule="exact"/>
        <w:rPr>
          <w:rFonts w:ascii="Times New Roman" w:cs="Times New Roman" w:eastAsia="Times New Roman" w:hAnsi="Times New Roman"/>
          <w:sz w:val="18"/>
          <w:szCs w:val="18"/>
          <w:color w:val="231F20"/>
        </w:rPr>
      </w:pPr>
    </w:p>
    <w:p>
      <w:pPr>
        <w:jc w:val="both"/>
        <w:ind w:left="660" w:hanging="652"/>
        <w:spacing w:after="0" w:line="256" w:lineRule="auto"/>
        <w:tabs>
          <w:tab w:leader="none" w:pos="660" w:val="left"/>
        </w:tabs>
        <w:numPr>
          <w:ilvl w:val="0"/>
          <w:numId w:val="9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Article 150, a printed copy of the Directors’ report, accompanied by the balance sheet and profit and loss account, including every document required by law to be annexed thereto, made up to the end of the applicable financial year and containing a summary of the assets and liabilities of the Company under convenient heads and a statement of income and expenditure, together with a copy of the Auditors’ report, shall be sent to each person entitled thereto at least ten (10) days before the date of the general meeting and laid before the Company at the annual general meeting held in accordance with Article 57 provided that this Article shall not require a copy of those documents to be sent to any person whose address the Company is not aware or to more than one of the joint holders of any shares or debentures.</w:t>
      </w:r>
    </w:p>
    <w:p>
      <w:pPr>
        <w:spacing w:after="0" w:line="187" w:lineRule="exact"/>
        <w:rPr>
          <w:rFonts w:ascii="Times New Roman" w:cs="Times New Roman" w:eastAsia="Times New Roman" w:hAnsi="Times New Roman"/>
          <w:sz w:val="18"/>
          <w:szCs w:val="18"/>
          <w:color w:val="231F20"/>
        </w:rPr>
      </w:pPr>
    </w:p>
    <w:p>
      <w:pPr>
        <w:jc w:val="both"/>
        <w:ind w:left="660" w:hanging="652"/>
        <w:spacing w:after="0" w:line="255" w:lineRule="auto"/>
        <w:tabs>
          <w:tab w:leader="none" w:pos="660" w:val="left"/>
        </w:tabs>
        <w:numPr>
          <w:ilvl w:val="0"/>
          <w:numId w:val="9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due compliance with all applicable Statutes, rules and regulations, including, without limitation, the rules of the Designated Stock Exchange, and to obtaining all necessary consents, if any, required thereunder, the requirements of Article 149 shall be deemed satisfied in relation to any person by sending to the person in any manner not prohibited by the Statutes, a summarised financial statements derived from the Company’s annual accounts and the directors’ report which shall be in the form and containing the information required by applicable laws and regulations, provided that any person who is otherwise entitled to the annual financial statements of the Company and the directors’ report thereon may, if he so requires by notice in writing served on the Company, demand that the Company sends to him, in addition to a summarised financial statements, a complete printed copy of the Company’s annual financial statement and the directors’ report thereon.</w:t>
      </w:r>
    </w:p>
    <w:p>
      <w:pPr>
        <w:spacing w:after="0" w:line="188" w:lineRule="exact"/>
        <w:rPr>
          <w:rFonts w:ascii="Times New Roman" w:cs="Times New Roman" w:eastAsia="Times New Roman" w:hAnsi="Times New Roman"/>
          <w:sz w:val="18"/>
          <w:szCs w:val="18"/>
          <w:color w:val="231F20"/>
        </w:rPr>
      </w:pPr>
    </w:p>
    <w:p>
      <w:pPr>
        <w:jc w:val="both"/>
        <w:ind w:left="660" w:hanging="652"/>
        <w:spacing w:after="0" w:line="256" w:lineRule="auto"/>
        <w:tabs>
          <w:tab w:leader="none" w:pos="660" w:val="left"/>
        </w:tabs>
        <w:numPr>
          <w:ilvl w:val="0"/>
          <w:numId w:val="9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requirement to send to a person referred to in Article 149 the documents referred to in that article or a summary financial report in accordance with Article 150 shall be deemed satisfied where, in accordance with all applicable Statutes, rules and regulations, including, without limitation, the rules of the Designated Stock Exchange, the Company publishes copies of the documents referred to in Article 149 and, if applicable, a summary financial report complying with Article 150, on the Company’s computer network or in any other permitted manner (including by sending any form of electronic communication), and that person has agreed or is deemed to have agreed to treat the publication or receipt of such documents in such manner as discharging the Company’s obligation to send to him a copy of such documents.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31F20"/>
        </w:rPr>
        <w:t>AUDIT</w:t>
      </w:r>
    </w:p>
    <w:p>
      <w:pPr>
        <w:spacing w:after="0" w:line="229" w:lineRule="exact"/>
        <w:rPr>
          <w:sz w:val="20"/>
          <w:szCs w:val="20"/>
          <w:color w:val="auto"/>
        </w:rPr>
      </w:pPr>
    </w:p>
    <w:p>
      <w:pPr>
        <w:jc w:val="both"/>
        <w:ind w:left="660" w:hanging="652"/>
        <w:spacing w:after="0" w:line="258" w:lineRule="auto"/>
        <w:tabs>
          <w:tab w:leader="none" w:pos="660" w:val="left"/>
        </w:tabs>
        <w:numPr>
          <w:ilvl w:val="0"/>
          <w:numId w:val="9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applicable law and rules of the Designated Stock Exchange, the Company shall at every annual general meeting by ordinary resolution appoint an Auditor of the Company who shall hold office until the next annual general meeting of the Company. The Company may by ordinary resolution remove an Auditor before the expiration of such Auditor's term of office. No person may be appointed as an Auditor unless such person is independent of the Company. The remuneration of the Auditors shall be fixed by the Company at the annual general meeting at which they are appointed by ordinary resolution. Subject to the Act the accounts of the Company shall be audited at least once in every year.</w:t>
      </w:r>
    </w:p>
    <w:p>
      <w:pPr>
        <w:spacing w:after="0" w:line="183" w:lineRule="exact"/>
        <w:rPr>
          <w:rFonts w:ascii="Times New Roman" w:cs="Times New Roman" w:eastAsia="Times New Roman" w:hAnsi="Times New Roman"/>
          <w:sz w:val="18"/>
          <w:szCs w:val="18"/>
          <w:color w:val="231F20"/>
        </w:rPr>
      </w:pPr>
    </w:p>
    <w:p>
      <w:pPr>
        <w:ind w:left="660" w:hanging="652"/>
        <w:spacing w:after="0" w:line="282" w:lineRule="auto"/>
        <w:tabs>
          <w:tab w:leader="none" w:pos="660" w:val="left"/>
        </w:tabs>
        <w:numPr>
          <w:ilvl w:val="0"/>
          <w:numId w:val="9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the office of auditor becomes vacant by the resignation or death of the Auditor, or by his becoming incapable of acting by reason of illness or other disability at a time when his services are required, the Directors shall fill the vacancy and determine the remuneration of such Auditor.</w:t>
      </w:r>
    </w:p>
    <w:p>
      <w:pPr>
        <w:spacing w:after="0" w:line="161" w:lineRule="exact"/>
        <w:rPr>
          <w:rFonts w:ascii="Times New Roman" w:cs="Times New Roman" w:eastAsia="Times New Roman" w:hAnsi="Times New Roman"/>
          <w:sz w:val="18"/>
          <w:szCs w:val="18"/>
          <w:color w:val="231F20"/>
        </w:rPr>
      </w:pPr>
    </w:p>
    <w:p>
      <w:pPr>
        <w:ind w:left="660" w:hanging="652"/>
        <w:spacing w:after="0" w:line="282" w:lineRule="auto"/>
        <w:tabs>
          <w:tab w:leader="none" w:pos="660" w:val="left"/>
        </w:tabs>
        <w:numPr>
          <w:ilvl w:val="0"/>
          <w:numId w:val="9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Auditor shall at all reasonable times have access to all books kept by the Company and to all accounts and vouchers relating thereto; and he may call on the Directors or officers of the Company for any information in their possession relating to the books or affairs of the Company.</w:t>
      </w:r>
    </w:p>
    <w:p>
      <w:pPr>
        <w:spacing w:after="0" w:line="161" w:lineRule="exact"/>
        <w:rPr>
          <w:rFonts w:ascii="Times New Roman" w:cs="Times New Roman" w:eastAsia="Times New Roman" w:hAnsi="Times New Roman"/>
          <w:sz w:val="18"/>
          <w:szCs w:val="18"/>
          <w:color w:val="231F20"/>
        </w:rPr>
      </w:pPr>
    </w:p>
    <w:p>
      <w:pPr>
        <w:jc w:val="both"/>
        <w:ind w:left="660" w:hanging="652"/>
        <w:spacing w:after="0" w:line="254" w:lineRule="auto"/>
        <w:tabs>
          <w:tab w:leader="none" w:pos="660" w:val="left"/>
        </w:tabs>
        <w:numPr>
          <w:ilvl w:val="0"/>
          <w:numId w:val="9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statement of income and expenditure and the balance sheet provided for by these Articles shall be examined by the Auditor and compared by him with the books, accounts and vouchers relating thereto; and he shall make a written report thereon stating whether such statement and balance sheet are drawn up so as to present fairly the financial position of the Company and the results of its operations for the period under review and, in case information shall have been called for from Directors or officers of the Company, whether the same has been furnished and has been satisfactory. The financial statements of the Company shall be audited by the Auditor in accordance with generally accepted auditing standards. The Auditor shall make a written report thereon in accordance with generally accepted auditing standards and the report of the Auditor shall be submitted to the Audit Committee. The generally accepted auditing standards referred to herein may be those of a country or jurisdiction other than the Cayman Islands. If so, the financial statements and the report of the Auditor should disclose this fact and name such country or jurisdiction.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31F20"/>
        </w:rPr>
        <w:t>NOTICES</w:t>
      </w:r>
    </w:p>
    <w:p>
      <w:pPr>
        <w:spacing w:after="0" w:line="229" w:lineRule="exact"/>
        <w:rPr>
          <w:sz w:val="20"/>
          <w:szCs w:val="20"/>
          <w:color w:val="auto"/>
        </w:rPr>
      </w:pPr>
    </w:p>
    <w:p>
      <w:pPr>
        <w:jc w:val="both"/>
        <w:ind w:left="660" w:hanging="652"/>
        <w:spacing w:after="0" w:line="253" w:lineRule="auto"/>
        <w:tabs>
          <w:tab w:leader="none" w:pos="660" w:val="left"/>
        </w:tabs>
        <w:numPr>
          <w:ilvl w:val="0"/>
          <w:numId w:val="9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Notice or document, whether or not, to be given or issued under these Articles from the Company to a Member shall be in writing or by cable, telex or facsimile transmission message or other form of electronic transmission or communication and any such Notice and document may be served or delivered by the Company on or to any Member either personally or by sending it through the post in a prepaid envelope addressed to such Member at his registered address as appearing in the Register or at any other address supplied by him to the Company for the purpose or, as the case may be, by transmitting it to any such address or transmitting it to any telex or facsimile transmission number or electronic number or address or website supplied by him to the Company for the giving of Notice to him or which the person transmitting the notice reasonably and bona fide believes at the relevant time will result in the Notice being duly received by the Member or may also be served by advertisement in appropriate newspapers in accordance with the requirements of the Designated Stock Exchange or, to the extent permitted by the applicable laws, by placing it on the Company’s website and giving to the member a notice stating that the notice or other document is available there (a “notice of availability”). The notice of availability may be given to the Member by any of the means set out above. In the case of joint holders of a share all notices shall be given to that one of the joint holders whose name stands first in the Register and notice so given shall be deemed a sufficient service on or delivery to all the joint holders.</w:t>
      </w:r>
    </w:p>
    <w:p>
      <w:pPr>
        <w:spacing w:after="0" w:line="189" w:lineRule="exact"/>
        <w:rPr>
          <w:rFonts w:ascii="Times New Roman" w:cs="Times New Roman" w:eastAsia="Times New Roman" w:hAnsi="Times New Roman"/>
          <w:sz w:val="18"/>
          <w:szCs w:val="18"/>
          <w:color w:val="231F20"/>
        </w:rPr>
      </w:pPr>
    </w:p>
    <w:p>
      <w:pPr>
        <w:ind w:left="660" w:hanging="652"/>
        <w:spacing w:after="0"/>
        <w:tabs>
          <w:tab w:leader="none" w:pos="660" w:val="left"/>
        </w:tabs>
        <w:numPr>
          <w:ilvl w:val="0"/>
          <w:numId w:val="9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Notice or other document:</w:t>
      </w:r>
    </w:p>
    <w:p>
      <w:pPr>
        <w:spacing w:after="0" w:line="225" w:lineRule="exact"/>
        <w:rPr>
          <w:rFonts w:ascii="Times New Roman" w:cs="Times New Roman" w:eastAsia="Times New Roman" w:hAnsi="Times New Roman"/>
          <w:sz w:val="18"/>
          <w:szCs w:val="18"/>
          <w:color w:val="231F20"/>
        </w:rPr>
      </w:pPr>
    </w:p>
    <w:p>
      <w:pPr>
        <w:jc w:val="both"/>
        <w:ind w:left="1300" w:hanging="644"/>
        <w:spacing w:after="0" w:line="256" w:lineRule="auto"/>
        <w:tabs>
          <w:tab w:leader="none" w:pos="1300" w:val="left"/>
        </w:tabs>
        <w:numPr>
          <w:ilvl w:val="1"/>
          <w:numId w:val="9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served or delivered by post, shall where appropriate be sent by airmail and shall be deemed to have been served or delivered on the day following that on which the envelope containing the same, properly prepaid and addressed, is put into the post; in proving such service or delivery it shall be sufficient to prove that the envelope or wrapper containing the notice or document was properly addressed and put into the post and a certificate in writing signed by the Secretary or other officer of the Company or other person appointed by the Board that the envelope or wrapper containing the Notice or other document was so addressed and put into the post shall be conclusive evidence thereof;</w:t>
      </w:r>
    </w:p>
    <w:p>
      <w:pPr>
        <w:spacing w:after="0" w:line="187" w:lineRule="exact"/>
        <w:rPr>
          <w:rFonts w:ascii="Times New Roman" w:cs="Times New Roman" w:eastAsia="Times New Roman" w:hAnsi="Times New Roman"/>
          <w:sz w:val="18"/>
          <w:szCs w:val="18"/>
          <w:color w:val="231F20"/>
        </w:rPr>
      </w:pPr>
    </w:p>
    <w:p>
      <w:pPr>
        <w:jc w:val="both"/>
        <w:ind w:left="1300" w:hanging="644"/>
        <w:spacing w:after="0" w:line="266" w:lineRule="auto"/>
        <w:tabs>
          <w:tab w:leader="none" w:pos="1300" w:val="left"/>
        </w:tabs>
        <w:numPr>
          <w:ilvl w:val="1"/>
          <w:numId w:val="9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sent by electronic communication, shall be deemed to be given on the day on which it is transmitted from the server of the Company or its agent. A Notice placed on the Company’s website is deemed given by the Company to a Member on the day following that on which a notice of availability is deemed served on the Member;</w:t>
      </w:r>
    </w:p>
    <w:p>
      <w:pPr>
        <w:spacing w:after="0" w:line="175" w:lineRule="exact"/>
        <w:rPr>
          <w:rFonts w:ascii="Times New Roman" w:cs="Times New Roman" w:eastAsia="Times New Roman" w:hAnsi="Times New Roman"/>
          <w:sz w:val="18"/>
          <w:szCs w:val="18"/>
          <w:color w:val="231F20"/>
        </w:rPr>
      </w:pPr>
    </w:p>
    <w:p>
      <w:pPr>
        <w:jc w:val="both"/>
        <w:ind w:left="1300" w:hanging="644"/>
        <w:spacing w:after="0" w:line="261" w:lineRule="auto"/>
        <w:tabs>
          <w:tab w:leader="none" w:pos="1300" w:val="left"/>
        </w:tabs>
        <w:numPr>
          <w:ilvl w:val="1"/>
          <w:numId w:val="9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served or delivered in any other manner contemplated by these Articles, shall be deemed to have been served or delivered at the time of personal service or delivery or, as the case may be, at the time of the relevant despatch or transmission; and in proving such service or delivery a certificate in writing signed by the Secretary or other officer of the Company or other person appointed by the Board as to the act and time of such service, delivery, despatch or transmission shall be conclusive evidence thereof; and</w:t>
      </w:r>
    </w:p>
    <w:p>
      <w:pPr>
        <w:spacing w:after="0" w:line="179" w:lineRule="exact"/>
        <w:rPr>
          <w:rFonts w:ascii="Times New Roman" w:cs="Times New Roman" w:eastAsia="Times New Roman" w:hAnsi="Times New Roman"/>
          <w:sz w:val="18"/>
          <w:szCs w:val="18"/>
          <w:color w:val="231F20"/>
        </w:rPr>
      </w:pPr>
    </w:p>
    <w:p>
      <w:pPr>
        <w:ind w:left="1300" w:hanging="644"/>
        <w:spacing w:after="0" w:line="282" w:lineRule="auto"/>
        <w:tabs>
          <w:tab w:leader="none" w:pos="1300" w:val="left"/>
        </w:tabs>
        <w:numPr>
          <w:ilvl w:val="1"/>
          <w:numId w:val="9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may be given to a Member in the English language or such other language as may be approved by the Directors, subject to due compliance with all applicable Statutes, rules and regulations.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ind w:left="1300" w:hanging="1292"/>
        <w:spacing w:after="0" w:line="255" w:lineRule="auto"/>
        <w:tabs>
          <w:tab w:leader="none" w:pos="652" w:val="left"/>
        </w:tabs>
        <w:numPr>
          <w:ilvl w:val="0"/>
          <w:numId w:val="9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(1)Any Notice or other document delivered or sent by post to or left at the registered address of any Member in pursuance of these Articles shall, notwithstanding that such Member is then dead or bankrupt or that any other event has occurred, and whether or not the Company has notice of the death or bankruptcy or other event, be deemed to have been duly served or delivered in respect of any share registered in the name of such Member as sole or joint holder unless his name shall, at the time of the service or delivery of the Notice or document, have been removed from the Register as the holder of the share, and such service or delivery shall for all purposes be deemed a sufficient service or delivery of such Notice or document on all persons interested (whether jointly with or as claiming through or under him) in the share.</w:t>
      </w:r>
    </w:p>
    <w:p>
      <w:pPr>
        <w:spacing w:after="0" w:line="188" w:lineRule="exact"/>
        <w:rPr>
          <w:rFonts w:ascii="Times New Roman" w:cs="Times New Roman" w:eastAsia="Times New Roman" w:hAnsi="Times New Roman"/>
          <w:sz w:val="18"/>
          <w:szCs w:val="18"/>
          <w:color w:val="231F20"/>
        </w:rPr>
      </w:pPr>
    </w:p>
    <w:p>
      <w:pPr>
        <w:jc w:val="both"/>
        <w:ind w:left="1300" w:hanging="644"/>
        <w:spacing w:after="0" w:line="258" w:lineRule="auto"/>
        <w:tabs>
          <w:tab w:leader="none" w:pos="1300" w:val="left"/>
        </w:tabs>
        <w:numPr>
          <w:ilvl w:val="1"/>
          <w:numId w:val="9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Notice may be given by the Company to the person entitled to a share in consequence of the death, mental disorder or bankruptcy of a Member by sending it through the post in a prepaid letter, envelope or wrapper addressed to him by name, or by the title of representative of the deceased, or trustee of the bankrupt, or by any like description, at the address, if any, supplied for the purpose by the person claiming to be so entitled, or (until such an address has been so supplied) by giving the notice in any manner in which the same might have been given if the death, mental disorder or bankruptcy had not occurred.</w:t>
      </w:r>
    </w:p>
    <w:p>
      <w:pPr>
        <w:spacing w:after="0" w:line="183" w:lineRule="exact"/>
        <w:rPr>
          <w:rFonts w:ascii="Times New Roman" w:cs="Times New Roman" w:eastAsia="Times New Roman" w:hAnsi="Times New Roman"/>
          <w:sz w:val="18"/>
          <w:szCs w:val="18"/>
          <w:color w:val="231F20"/>
        </w:rPr>
      </w:pPr>
    </w:p>
    <w:p>
      <w:pPr>
        <w:jc w:val="both"/>
        <w:ind w:left="1300" w:hanging="644"/>
        <w:spacing w:after="0" w:line="266" w:lineRule="auto"/>
        <w:tabs>
          <w:tab w:leader="none" w:pos="1300" w:val="left"/>
        </w:tabs>
        <w:numPr>
          <w:ilvl w:val="1"/>
          <w:numId w:val="9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person who by operation of law, transfer or other means whatsoever shall become entitled to any share shall be bound by every Notice in respect of such share which prior to his name and address being entered on the Register shall have been duly given to the person from whom he derives his title to such share.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31F20"/>
        </w:rPr>
        <w:t>SIGNATURES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9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the purposes of these Articles, a cable or telex or facsimile or electronic transmission message purporting to come from a holder of shares or, as the case may be, a Director, or, in the case of a corporation which is a holder of shares from a director or the secretary thereof or a duly appointed attorney or duly authorised representative thereof for it and on its behalf, shall in the absence of express evidence to the contrary available to the person relying thereon at the relevant time be deemed to be a document or instrument in writing signed by such holder or Director in the terms in which it is received.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31F20"/>
        </w:rPr>
        <w:t>WINDING UP</w:t>
      </w:r>
    </w:p>
    <w:p>
      <w:pPr>
        <w:spacing w:after="0" w:line="229" w:lineRule="exact"/>
        <w:rPr>
          <w:sz w:val="20"/>
          <w:szCs w:val="20"/>
          <w:color w:val="auto"/>
        </w:rPr>
      </w:pPr>
    </w:p>
    <w:p>
      <w:pPr>
        <w:ind w:left="1300" w:hanging="1292"/>
        <w:spacing w:after="0" w:line="282" w:lineRule="auto"/>
        <w:tabs>
          <w:tab w:leader="none" w:pos="652" w:val="left"/>
        </w:tabs>
        <w:numPr>
          <w:ilvl w:val="0"/>
          <w:numId w:val="9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(1)The Board shall have power in the name and on behalf of the Company to present a petition to the court for the Company to be wound up.</w:t>
      </w:r>
    </w:p>
    <w:p>
      <w:pPr>
        <w:spacing w:after="0" w:line="161" w:lineRule="exact"/>
        <w:rPr>
          <w:rFonts w:ascii="Times New Roman" w:cs="Times New Roman" w:eastAsia="Times New Roman" w:hAnsi="Times New Roman"/>
          <w:sz w:val="18"/>
          <w:szCs w:val="18"/>
          <w:color w:val="231F20"/>
        </w:rPr>
      </w:pPr>
    </w:p>
    <w:p>
      <w:pPr>
        <w:ind w:left="1300" w:hanging="644"/>
        <w:spacing w:after="0"/>
        <w:tabs>
          <w:tab w:leader="none" w:pos="1300" w:val="left"/>
        </w:tabs>
        <w:numPr>
          <w:ilvl w:val="1"/>
          <w:numId w:val="9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the Act, the Company may by special resolution resolve that the Company be wound up voluntarily.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ind w:left="1292" w:hanging="1292"/>
        <w:spacing w:after="0" w:line="254" w:lineRule="auto"/>
        <w:tabs>
          <w:tab w:leader="none" w:pos="644" w:val="left"/>
        </w:tabs>
        <w:numPr>
          <w:ilvl w:val="0"/>
          <w:numId w:val="9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(1)Subject to any special rights, privileges or restrictions as to the distribution of available surplus assets on liquidation for the time being attached to any class or classes of shares (i) if the Company shall be wound up and the assets available for distribution amongst the Members shall be more than sufficient to repay the whole of the capital paid up at the commencement of the winding up, the excess shall be distributed </w:t>
      </w:r>
      <w:r>
        <w:rPr>
          <w:rFonts w:ascii="Times New Roman" w:cs="Times New Roman" w:eastAsia="Times New Roman" w:hAnsi="Times New Roman"/>
          <w:sz w:val="18"/>
          <w:szCs w:val="18"/>
          <w:i w:val="1"/>
          <w:iCs w:val="1"/>
          <w:color w:val="231F20"/>
        </w:rPr>
        <w:t>pari passu</w:t>
      </w:r>
      <w:r>
        <w:rPr>
          <w:rFonts w:ascii="Times New Roman" w:cs="Times New Roman" w:eastAsia="Times New Roman" w:hAnsi="Times New Roman"/>
          <w:sz w:val="18"/>
          <w:szCs w:val="18"/>
          <w:color w:val="231F20"/>
        </w:rPr>
        <w:t xml:space="preserve"> amongst such members in proportion to the amount paid up on the shares held by them respectively and (ii) if the Company shall be wound up and the assets available for distribution amongst the Members as such shall be insufficient to repay the whole of the paid-up capital such assets shall be distributed so that, a nearly as may be, the losses shall be borne by the Members in proportion to the capital paid up, or which ought to have been paid up, at the commencement of the winding up on the shares held by them respectively.</w:t>
      </w:r>
    </w:p>
    <w:p>
      <w:pPr>
        <w:spacing w:after="0" w:line="191" w:lineRule="exact"/>
        <w:rPr>
          <w:rFonts w:ascii="Times New Roman" w:cs="Times New Roman" w:eastAsia="Times New Roman" w:hAnsi="Times New Roman"/>
          <w:sz w:val="18"/>
          <w:szCs w:val="18"/>
          <w:color w:val="231F20"/>
        </w:rPr>
      </w:pPr>
    </w:p>
    <w:p>
      <w:pPr>
        <w:jc w:val="both"/>
        <w:ind w:left="1292" w:hanging="644"/>
        <w:spacing w:after="0" w:line="254" w:lineRule="auto"/>
        <w:tabs>
          <w:tab w:leader="none" w:pos="1292" w:val="left"/>
        </w:tabs>
        <w:numPr>
          <w:ilvl w:val="1"/>
          <w:numId w:val="9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the Company shall be wound up (whether the liquidation is voluntary or by the court) the liquidator may, with the authority of a special resolution and any other sanction required by the Act, divide among the Members in specie or kind the whole or any part of the assets of the Company and whether or not the assets shall consist of properties of one kind or shall consist of properties to be divided as aforesaid of different kinds, and may for such purpose set such value as he deems fair upon any one or more class or classes of property and may determine how such division shall be carried out as between the Members or different classes of Members. The liquidator may, with the like authority, vest any part of the assets in trustees upon such trusts for the benefit of the Members as the liquidator with the like authority shall think fit, and the liquidation of the Company may be closed and the Company dissolved, but so that no contributory shall be compelled to accept any shares or other property in respect of which there is a liability.</w:t>
      </w: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31F20"/>
        </w:rPr>
        <w:t>INDEMNITY</w:t>
      </w:r>
    </w:p>
    <w:p>
      <w:pPr>
        <w:spacing w:after="0" w:line="229" w:lineRule="exact"/>
        <w:rPr>
          <w:sz w:val="20"/>
          <w:szCs w:val="20"/>
          <w:color w:val="auto"/>
        </w:rPr>
      </w:pPr>
    </w:p>
    <w:p>
      <w:pPr>
        <w:ind w:left="1300" w:hanging="1292"/>
        <w:spacing w:after="0" w:line="253" w:lineRule="auto"/>
        <w:tabs>
          <w:tab w:leader="none" w:pos="652" w:val="left"/>
        </w:tabs>
        <w:numPr>
          <w:ilvl w:val="0"/>
          <w:numId w:val="10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(1)The Directors, Secretary and other officers for the time being of the Company (but not including the Company’s auditors) and the liquidator or trustees (if any) for the time being acting in relation to any of the affairs of the Company and everyone of them, and everyone of their heirs, executors and administrators, shall be indemnified and secured harmless out of the assets and profits of the Company from and against all actions, costs, charges, losses, damages and expenses which they or any of them, their or any of their heirs, executors or administrators, shall or may incur or sustain by or by reason of any act done, concurred in or omitted in or about the execution of their duty, or supposed duty, in their respective offices or trusts; and none of them shall be answerable for the acts, receipts, neglects or defaults of the other or others of them or for joining in any receipts for the sake of conformity, or for any bankers or other persons with whom any moneys or effects belonging to the Company shall or may be lodged or deposited for safe custody, or for insufficiency or deficiency of any security upon which any moneys of or belonging to the Company shall be placed out on or invested, or for any other loss, misfortune or damage which may happen in the execution of their respective offices or trusts, or in relation thereto; PROVIDED THAT this indemnity shall not extend to any matter in respect of any fraud or dishonesty which may attach to any of said persons.</w:t>
      </w:r>
    </w:p>
    <w:p>
      <w:pPr>
        <w:spacing w:after="0" w:line="190" w:lineRule="exact"/>
        <w:rPr>
          <w:sz w:val="20"/>
          <w:szCs w:val="20"/>
          <w:color w:val="auto"/>
        </w:rPr>
      </w:pPr>
    </w:p>
    <w:p>
      <w:pPr>
        <w:jc w:val="both"/>
        <w:ind w:left="1300" w:hanging="644"/>
        <w:spacing w:after="0" w:line="261" w:lineRule="auto"/>
        <w:tabs>
          <w:tab w:leader="none" w:pos="1300" w:val="left"/>
        </w:tabs>
        <w:numPr>
          <w:ilvl w:val="0"/>
          <w:numId w:val="10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Each Member agrees to waive any claim or right of action he might have, whether individually or by or in the right of the Company, against any Director on account of any action taken by such Director, or the failure of such Director to take any action in the performance of his duties with or for the Company; PROVIDED THAT such waiver shall not extend to any matter in respect of any fraud or dishonesty which may attach to such Director.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31F20"/>
        </w:rPr>
        <w:t>AMENDMENT TO MEMORANDUM AND ARTICLES OF ASSOCIATION AND NAME OF COMPANY</w:t>
      </w:r>
    </w:p>
    <w:p>
      <w:pPr>
        <w:spacing w:after="0" w:line="229" w:lineRule="exact"/>
        <w:rPr>
          <w:sz w:val="20"/>
          <w:szCs w:val="20"/>
          <w:color w:val="auto"/>
        </w:rPr>
      </w:pPr>
    </w:p>
    <w:p>
      <w:pPr>
        <w:jc w:val="both"/>
        <w:ind w:left="660" w:hanging="652"/>
        <w:spacing w:after="0" w:line="312" w:lineRule="auto"/>
        <w:tabs>
          <w:tab w:leader="none" w:pos="660" w:val="left"/>
        </w:tabs>
        <w:numPr>
          <w:ilvl w:val="0"/>
          <w:numId w:val="10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 Article shall be rescinded, altered or amended and no new Article shall be made until the same has been approved by a special resolution of the Members. A special resolution shall be required to alter the provisions of the Memorandum of Association or to change the name of the Company.</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31F20"/>
        </w:rPr>
        <w:t>INFORMATION</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0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 Member shall be entitled to require discovery of or any information respecting any detail of the Company’s trading or any matter which is or may be in the nature of a trade secret or secret process which may relate to the conduct of the business of the Company and which in the opinion of the Directors it will be inexpedient in the interests of the members of the Company to communicate to the public.</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31F20"/>
        </w:rPr>
        <w:t>FINANCIAL YEAR</w:t>
      </w:r>
    </w:p>
    <w:p>
      <w:pPr>
        <w:spacing w:after="0" w:line="229" w:lineRule="exact"/>
        <w:rPr>
          <w:sz w:val="20"/>
          <w:szCs w:val="20"/>
          <w:color w:val="auto"/>
        </w:rPr>
      </w:pPr>
    </w:p>
    <w:p>
      <w:pPr>
        <w:ind w:left="660" w:hanging="652"/>
        <w:spacing w:after="0" w:line="282" w:lineRule="auto"/>
        <w:tabs>
          <w:tab w:leader="none" w:pos="660" w:val="left"/>
        </w:tabs>
        <w:numPr>
          <w:ilvl w:val="0"/>
          <w:numId w:val="10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Unless the Directors otherwise prescribe, the financial year of the Company shall end on 31st December in each year and, following the year of incorporation, shall begin on 1st January in each year.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12E685FB"/>
    <w:multiLevelType w:val="hybridMultilevel"/>
    <w:lvl w:ilvl="0">
      <w:lvlJc w:val="left"/>
      <w:lvlText w:val="(%1)"/>
      <w:numFmt w:val="lowerLetter"/>
      <w:start w:val="1"/>
    </w:lvl>
    <w:lvl w:ilvl="1">
      <w:lvlJc w:val="left"/>
      <w:lvlText w:val="(%2)"/>
      <w:numFmt w:val="lowerRoman"/>
      <w:start w:val="1"/>
    </w:lvl>
  </w:abstractNum>
  <w:abstractNum w:abstractNumId="1">
    <w:nsid w:val="70C6A529"/>
    <w:multiLevelType w:val="hybridMultilevel"/>
    <w:lvl w:ilvl="0">
      <w:lvlJc w:val="left"/>
      <w:lvlText w:val="(%1)"/>
      <w:numFmt w:val="lowerLetter"/>
      <w:start w:val="4"/>
    </w:lvl>
  </w:abstractNum>
  <w:abstractNum w:abstractNumId="2">
    <w:nsid w:val="520EEDD1"/>
    <w:multiLevelType w:val="hybridMultilevel"/>
    <w:lvl w:ilvl="0">
      <w:lvlJc w:val="left"/>
      <w:lvlText w:val="%1."/>
      <w:numFmt w:val="decimal"/>
      <w:start w:val="1"/>
    </w:lvl>
  </w:abstractNum>
  <w:abstractNum w:abstractNumId="3">
    <w:nsid w:val="374A3FE6"/>
    <w:multiLevelType w:val="hybridMultilevel"/>
    <w:lvl w:ilvl="0">
      <w:lvlJc w:val="left"/>
      <w:lvlText w:val="%1."/>
      <w:numFmt w:val="decimal"/>
      <w:start w:val="1"/>
    </w:lvl>
  </w:abstractNum>
  <w:abstractNum w:abstractNumId="4">
    <w:nsid w:val="4F4EF005"/>
    <w:multiLevelType w:val="hybridMultilevel"/>
    <w:lvl w:ilvl="0">
      <w:lvlJc w:val="left"/>
      <w:lvlText w:val="(%1)"/>
      <w:numFmt w:val="lowerRoman"/>
      <w:start w:val="1"/>
    </w:lvl>
  </w:abstractNum>
  <w:abstractNum w:abstractNumId="5">
    <w:nsid w:val="23F9C13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
    <w:nsid w:val="649BB77C"/>
    <w:multiLevelType w:val="hybridMultilevel"/>
    <w:lvl w:ilvl="0">
      <w:lvlJc w:val="left"/>
      <w:lvlText w:val="%1."/>
      <w:numFmt w:val="decimal"/>
      <w:start w:val="3"/>
    </w:lvl>
    <w:lvl w:ilvl="1">
      <w:lvlJc w:val="left"/>
      <w:lvlText w:val="(%2)"/>
      <w:numFmt w:val="decimal"/>
      <w:start w:val="2"/>
    </w:lvl>
  </w:abstractNum>
  <w:abstractNum w:abstractNumId="7">
    <w:nsid w:val="275AC794"/>
    <w:multiLevelType w:val="hybridMultilevel"/>
    <w:lvl w:ilvl="0">
      <w:lvlJc w:val="left"/>
      <w:lvlText w:val="%1."/>
      <w:numFmt w:val="decimal"/>
      <w:start w:val="4"/>
    </w:lvl>
    <w:lvl w:ilvl="1">
      <w:lvlJc w:val="left"/>
      <w:lvlText w:val="(%2)"/>
      <w:numFmt w:val="lowerLetter"/>
      <w:start w:val="1"/>
    </w:lvl>
  </w:abstractNum>
  <w:abstractNum w:abstractNumId="8">
    <w:nsid w:val="39386575"/>
    <w:multiLevelType w:val="hybridMultilevel"/>
    <w:lvl w:ilvl="0">
      <w:lvlJc w:val="left"/>
      <w:lvlText w:val="%1"/>
      <w:numFmt w:val="decimal"/>
      <w:start w:val="1"/>
    </w:lvl>
    <w:lvl w:ilvl="1">
      <w:lvlJc w:val="left"/>
      <w:lvlText w:val="(%2)"/>
      <w:numFmt w:val="lowerLetter"/>
      <w:start w:val="3"/>
    </w:lvl>
  </w:abstractNum>
  <w:abstractNum w:abstractNumId="9">
    <w:nsid w:val="1CF10FD8"/>
    <w:multiLevelType w:val="hybridMultilevel"/>
    <w:lvl w:ilvl="0">
      <w:lvlJc w:val="left"/>
      <w:lvlText w:val="%1."/>
      <w:numFmt w:val="decimal"/>
      <w:start w:val="5"/>
    </w:lvl>
    <w:lvl w:ilvl="1">
      <w:lvlJc w:val="left"/>
      <w:lvlText w:val="%2"/>
      <w:numFmt w:val="lowerLetter"/>
      <w:start w:val="1"/>
    </w:lvl>
  </w:abstractNum>
  <w:abstractNum w:abstractNumId="10">
    <w:nsid w:val="180115BE"/>
    <w:multiLevelType w:val="hybridMultilevel"/>
    <w:lvl w:ilvl="0">
      <w:lvlJc w:val="left"/>
      <w:lvlText w:val="%1."/>
      <w:numFmt w:val="decimal"/>
      <w:start w:val="8"/>
    </w:lvl>
    <w:lvl w:ilvl="1">
      <w:lvlJc w:val="left"/>
      <w:lvlText w:val="(%2)"/>
      <w:numFmt w:val="lowerLetter"/>
      <w:start w:val="1"/>
    </w:lvl>
  </w:abstractNum>
  <w:abstractNum w:abstractNumId="11">
    <w:nsid w:val="235BA861"/>
    <w:multiLevelType w:val="hybridMultilevel"/>
    <w:lvl w:ilvl="0">
      <w:lvlJc w:val="left"/>
      <w:lvlText w:val="%1."/>
      <w:numFmt w:val="decimal"/>
      <w:start w:val="11"/>
    </w:lvl>
    <w:lvl w:ilvl="1">
      <w:lvlJc w:val="left"/>
      <w:lvlText w:val="(%2)"/>
      <w:numFmt w:val="lowerLetter"/>
      <w:start w:val="1"/>
    </w:lvl>
  </w:abstractNum>
  <w:abstractNum w:abstractNumId="12">
    <w:nsid w:val="47398C89"/>
    <w:multiLevelType w:val="hybridMultilevel"/>
    <w:lvl w:ilvl="0">
      <w:lvlJc w:val="left"/>
      <w:lvlText w:val="%1"/>
      <w:numFmt w:val="decimal"/>
      <w:start w:val="1"/>
    </w:lvl>
    <w:lvl w:ilvl="1">
      <w:lvlJc w:val="left"/>
      <w:lvlText w:val="(%2)"/>
      <w:numFmt w:val="lowerLetter"/>
      <w:start w:val="2"/>
    </w:lvl>
  </w:abstractNum>
  <w:abstractNum w:abstractNumId="13">
    <w:nsid w:val="354FE9F9"/>
    <w:multiLevelType w:val="hybridMultilevel"/>
    <w:lvl w:ilvl="0">
      <w:lvlJc w:val="left"/>
      <w:lvlText w:val="%1."/>
      <w:numFmt w:val="decimal"/>
      <w:start w:val="12"/>
    </w:lvl>
    <w:lvl w:ilvl="1">
      <w:lvlJc w:val="left"/>
      <w:lvlText w:val="%2"/>
      <w:numFmt w:val="lowerLetter"/>
      <w:start w:val="1"/>
    </w:lvl>
  </w:abstractNum>
  <w:abstractNum w:abstractNumId="14">
    <w:nsid w:val="15B5AF5C"/>
    <w:multiLevelType w:val="hybridMultilevel"/>
    <w:lvl w:ilvl="0">
      <w:lvlJc w:val="left"/>
      <w:lvlText w:val="%1."/>
      <w:numFmt w:val="decimal"/>
      <w:start w:val="13"/>
    </w:lvl>
  </w:abstractNum>
  <w:abstractNum w:abstractNumId="15">
    <w:nsid w:val="741226BB"/>
    <w:multiLevelType w:val="hybridMultilevel"/>
    <w:lvl w:ilvl="0">
      <w:lvlJc w:val="left"/>
      <w:lvlText w:val="%1"/>
      <w:numFmt w:val="decimal"/>
      <w:start w:val="1"/>
    </w:lvl>
    <w:lvl w:ilvl="1">
      <w:lvlJc w:val="left"/>
      <w:lvlText w:val="(%2)"/>
      <w:numFmt w:val="decimal"/>
      <w:start w:val="2"/>
    </w:lvl>
  </w:abstractNum>
  <w:abstractNum w:abstractNumId="16">
    <w:nsid w:val="D34B6A8"/>
    <w:multiLevelType w:val="hybridMultilevel"/>
    <w:lvl w:ilvl="0">
      <w:lvlJc w:val="left"/>
      <w:lvlText w:val="%1."/>
      <w:numFmt w:val="decimal"/>
      <w:start w:val="14"/>
    </w:lvl>
    <w:lvl w:ilvl="1">
      <w:lvlJc w:val="left"/>
      <w:lvlText w:val="%2"/>
      <w:numFmt w:val="decimal"/>
      <w:start w:val="1"/>
    </w:lvl>
  </w:abstractNum>
  <w:abstractNum w:abstractNumId="17">
    <w:nsid w:val="10233C99"/>
    <w:multiLevelType w:val="hybridMultilevel"/>
    <w:lvl w:ilvl="0">
      <w:lvlJc w:val="left"/>
      <w:lvlText w:val="%1."/>
      <w:numFmt w:val="decimal"/>
      <w:start w:val="17"/>
    </w:lvl>
    <w:lvl w:ilvl="1">
      <w:lvlJc w:val="left"/>
      <w:lvlText w:val="(%2)"/>
      <w:numFmt w:val="decimal"/>
      <w:start w:val="2"/>
    </w:lvl>
  </w:abstractNum>
  <w:abstractNum w:abstractNumId="18">
    <w:nsid w:val="3F6AB60F"/>
    <w:multiLevelType w:val="hybridMultilevel"/>
    <w:lvl w:ilvl="0">
      <w:lvlJc w:val="left"/>
      <w:lvlText w:val="%1."/>
      <w:numFmt w:val="decimal"/>
      <w:start w:val="22"/>
    </w:lvl>
  </w:abstractNum>
  <w:abstractNum w:abstractNumId="19">
    <w:nsid w:val="61574095"/>
    <w:multiLevelType w:val="hybridMultilevel"/>
    <w:lvl w:ilvl="0">
      <w:lvlJc w:val="left"/>
      <w:lvlText w:val="%1."/>
      <w:numFmt w:val="decimal"/>
      <w:start w:val="23"/>
    </w:lvl>
  </w:abstractNum>
  <w:abstractNum w:abstractNumId="20">
    <w:nsid w:val="7E0C57B1"/>
    <w:multiLevelType w:val="hybridMultilevel"/>
    <w:lvl w:ilvl="0">
      <w:lvlJc w:val="left"/>
      <w:lvlText w:val="%1."/>
      <w:numFmt w:val="decimal"/>
      <w:start w:val="26"/>
    </w:lvl>
  </w:abstractNum>
  <w:abstractNum w:abstractNumId="21">
    <w:nsid w:val="77AE35EB"/>
    <w:multiLevelType w:val="hybridMultilevel"/>
    <w:lvl w:ilvl="0">
      <w:lvlJc w:val="left"/>
      <w:lvlText w:val="%1."/>
      <w:numFmt w:val="decimal"/>
      <w:start w:val="33"/>
    </w:lvl>
  </w:abstractNum>
  <w:abstractNum w:abstractNumId="22">
    <w:nsid w:val="579BE4F1"/>
    <w:multiLevelType w:val="hybridMultilevel"/>
    <w:lvl w:ilvl="0">
      <w:lvlJc w:val="left"/>
      <w:lvlText w:val="%1."/>
      <w:numFmt w:val="decimal"/>
      <w:start w:val="35"/>
    </w:lvl>
    <w:lvl w:ilvl="1">
      <w:lvlJc w:val="left"/>
      <w:lvlText w:val="(%2)"/>
      <w:numFmt w:val="decimal"/>
      <w:start w:val="14"/>
    </w:lvl>
  </w:abstractNum>
  <w:abstractNum w:abstractNumId="23">
    <w:nsid w:val="310C50B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4">
    <w:nsid w:val="5FF87E05"/>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25">
    <w:nsid w:val="2F305DEF"/>
    <w:multiLevelType w:val="hybridMultilevel"/>
    <w:lvl w:ilvl="0">
      <w:lvlJc w:val="left"/>
      <w:lvlText w:val="%1."/>
      <w:numFmt w:val="decimal"/>
      <w:start w:val="36"/>
    </w:lvl>
    <w:lvl w:ilvl="1">
      <w:lvlJc w:val="left"/>
      <w:lvlText w:val="%2"/>
      <w:numFmt w:val="decimal"/>
      <w:start w:val="1"/>
    </w:lvl>
    <w:lvl w:ilvl="2">
      <w:lvlJc w:val="left"/>
      <w:lvlText w:val="%3"/>
      <w:numFmt w:val="lowerLetter"/>
      <w:start w:val="1"/>
    </w:lvl>
  </w:abstractNum>
  <w:abstractNum w:abstractNumId="26">
    <w:nsid w:val="25A70BF7"/>
    <w:multiLevelType w:val="hybridMultilevel"/>
    <w:lvl w:ilvl="0">
      <w:lvlJc w:val="left"/>
      <w:lvlText w:val="%1."/>
      <w:numFmt w:val="decimal"/>
      <w:start w:val="39"/>
    </w:lvl>
  </w:abstractNum>
  <w:abstractNum w:abstractNumId="27">
    <w:nsid w:val="1DBABF00"/>
    <w:multiLevelType w:val="hybridMultilevel"/>
    <w:lvl w:ilvl="0">
      <w:lvlJc w:val="left"/>
      <w:lvlText w:val="%1."/>
      <w:numFmt w:val="decimal"/>
      <w:start w:val="44"/>
    </w:lvl>
    <w:lvl w:ilvl="1">
      <w:lvlJc w:val="left"/>
      <w:lvlText w:val="(%2)"/>
      <w:numFmt w:val="decimal"/>
      <w:start w:val="1"/>
    </w:lvl>
    <w:lvl w:ilvl="2">
      <w:lvlJc w:val="left"/>
      <w:lvlText w:val="(%3)"/>
      <w:numFmt w:val="lowerLetter"/>
      <w:start w:val="1"/>
    </w:lvl>
  </w:abstractNum>
  <w:abstractNum w:abstractNumId="28">
    <w:nsid w:val="4AD084E9"/>
    <w:multiLevelType w:val="hybridMultilevel"/>
    <w:lvl w:ilvl="0">
      <w:lvlJc w:val="left"/>
      <w:lvlText w:val="%1."/>
      <w:numFmt w:val="decimal"/>
      <w:start w:val="46"/>
    </w:lvl>
  </w:abstractNum>
  <w:abstractNum w:abstractNumId="29">
    <w:nsid w:val="1F48EAA1"/>
    <w:multiLevelType w:val="hybridMultilevel"/>
    <w:lvl w:ilvl="0">
      <w:lvlJc w:val="left"/>
      <w:lvlText w:val="%1."/>
      <w:numFmt w:val="decimal"/>
      <w:start w:val="47"/>
    </w:lvl>
  </w:abstractNum>
  <w:abstractNum w:abstractNumId="30">
    <w:nsid w:val="1381823A"/>
    <w:multiLevelType w:val="hybridMultilevel"/>
    <w:lvl w:ilvl="0">
      <w:lvlJc w:val="left"/>
      <w:lvlText w:val="%1"/>
      <w:numFmt w:val="decimal"/>
      <w:start w:val="1"/>
    </w:lvl>
    <w:lvl w:ilvl="1">
      <w:lvlJc w:val="left"/>
      <w:lvlText w:val="(%2)"/>
      <w:numFmt w:val="decimal"/>
      <w:start w:val="2"/>
    </w:lvl>
  </w:abstractNum>
  <w:abstractNum w:abstractNumId="31">
    <w:nsid w:val="5DB70AE5"/>
    <w:multiLevelType w:val="hybridMultilevel"/>
    <w:lvl w:ilvl="0">
      <w:lvlJc w:val="left"/>
      <w:lvlText w:val="%1."/>
      <w:numFmt w:val="decimal"/>
      <w:start w:val="50"/>
    </w:lvl>
    <w:lvl w:ilvl="1">
      <w:lvlJc w:val="left"/>
      <w:lvlText w:val="%2"/>
      <w:numFmt w:val="decimal"/>
      <w:start w:val="1"/>
    </w:lvl>
  </w:abstractNum>
  <w:abstractNum w:abstractNumId="32">
    <w:nsid w:val="100F8FCA"/>
    <w:multiLevelType w:val="hybridMultilevel"/>
    <w:lvl w:ilvl="0">
      <w:lvlJc w:val="left"/>
      <w:lvlText w:val="%1"/>
      <w:numFmt w:val="decimal"/>
      <w:start w:val="1"/>
    </w:lvl>
    <w:lvl w:ilvl="1">
      <w:lvlJc w:val="left"/>
      <w:lvlText w:val="(%2)"/>
      <w:numFmt w:val="lowerLetter"/>
      <w:start w:val="1"/>
    </w:lvl>
  </w:abstractNum>
  <w:abstractNum w:abstractNumId="33">
    <w:nsid w:val="6590700B"/>
    <w:multiLevelType w:val="hybridMultilevel"/>
    <w:lvl w:ilvl="0">
      <w:lvlJc w:val="left"/>
      <w:lvlText w:val="%1."/>
      <w:numFmt w:val="decimal"/>
      <w:start w:val="51"/>
    </w:lvl>
    <w:lvl w:ilvl="1">
      <w:lvlJc w:val="left"/>
      <w:lvlText w:val="%2"/>
      <w:numFmt w:val="lowerLetter"/>
      <w:start w:val="1"/>
    </w:lvl>
  </w:abstractNum>
  <w:abstractNum w:abstractNumId="34">
    <w:nsid w:val="15014ACB"/>
    <w:multiLevelType w:val="hybridMultilevel"/>
    <w:lvl w:ilvl="0">
      <w:lvlJc w:val="left"/>
      <w:lvlText w:val="%1."/>
      <w:numFmt w:val="decimal"/>
      <w:start w:val="53"/>
    </w:lvl>
  </w:abstractNum>
  <w:abstractNum w:abstractNumId="35">
    <w:nsid w:val="5F5E7FD0"/>
    <w:multiLevelType w:val="hybridMultilevel"/>
    <w:lvl w:ilvl="0">
      <w:lvlJc w:val="left"/>
      <w:lvlText w:val="%1."/>
      <w:numFmt w:val="decimal"/>
      <w:start w:val="56"/>
    </w:lvl>
    <w:lvl w:ilvl="1">
      <w:lvlJc w:val="left"/>
      <w:lvlText w:val="(%2)"/>
      <w:numFmt w:val="decimal"/>
      <w:start w:val="2"/>
    </w:lvl>
    <w:lvl w:ilvl="2">
      <w:lvlJc w:val="left"/>
      <w:lvlText w:val="(%3)"/>
      <w:numFmt w:val="lowerLetter"/>
      <w:start w:val="1"/>
    </w:lvl>
  </w:abstractNum>
  <w:abstractNum w:abstractNumId="36">
    <w:nsid w:val="98A3148"/>
    <w:multiLevelType w:val="hybridMultilevel"/>
    <w:lvl w:ilvl="0">
      <w:lvlJc w:val="left"/>
      <w:lvlText w:val="(%1)"/>
      <w:numFmt w:val="lowerLetter"/>
      <w:start w:val="2"/>
    </w:lvl>
  </w:abstractNum>
  <w:abstractNum w:abstractNumId="37">
    <w:nsid w:val="799D0247"/>
    <w:multiLevelType w:val="hybridMultilevel"/>
    <w:lvl w:ilvl="0">
      <w:lvlJc w:val="left"/>
      <w:lvlText w:val="(%1)"/>
      <w:numFmt w:val="decimal"/>
      <w:start w:val="3"/>
    </w:lvl>
  </w:abstractNum>
  <w:abstractNum w:abstractNumId="38">
    <w:nsid w:val="6B94764"/>
    <w:multiLevelType w:val="hybridMultilevel"/>
    <w:lvl w:ilvl="0">
      <w:lvlJc w:val="left"/>
      <w:lvlText w:val="%1."/>
      <w:numFmt w:val="decimal"/>
      <w:start w:val="57"/>
    </w:lvl>
  </w:abstractNum>
  <w:abstractNum w:abstractNumId="39">
    <w:nsid w:val="42C296BD"/>
    <w:multiLevelType w:val="hybridMultilevel"/>
    <w:lvl w:ilvl="0">
      <w:lvlJc w:val="left"/>
      <w:lvlText w:val="%1."/>
      <w:numFmt w:val="decimal"/>
      <w:start w:val="59"/>
    </w:lvl>
  </w:abstractNum>
  <w:abstractNum w:abstractNumId="40">
    <w:nsid w:val="168E121F"/>
    <w:multiLevelType w:val="hybridMultilevel"/>
    <w:lvl w:ilvl="0">
      <w:lvlJc w:val="left"/>
      <w:lvlText w:val="(%1)"/>
      <w:numFmt w:val="upperLetter"/>
      <w:start w:val="2"/>
    </w:lvl>
    <w:lvl w:ilvl="1">
      <w:lvlJc w:val="left"/>
      <w:lvlText w:val="(%2)"/>
      <w:numFmt w:val="lowerRoman"/>
      <w:start w:val="1"/>
    </w:lvl>
  </w:abstractNum>
  <w:abstractNum w:abstractNumId="41">
    <w:nsid w:val="1EBA5D23"/>
    <w:multiLevelType w:val="hybridMultilevel"/>
    <w:lvl w:ilvl="0">
      <w:lvlJc w:val="left"/>
      <w:lvlText w:val="(%1)"/>
      <w:numFmt w:val="upperLetter"/>
      <w:start w:val="4"/>
    </w:lvl>
  </w:abstractNum>
  <w:abstractNum w:abstractNumId="42">
    <w:nsid w:val="661E3F1E"/>
    <w:multiLevelType w:val="hybridMultilevel"/>
    <w:lvl w:ilvl="0">
      <w:lvlJc w:val="left"/>
      <w:lvlText w:val="%1."/>
      <w:numFmt w:val="decimal"/>
      <w:start w:val="60"/>
    </w:lvl>
    <w:lvl w:ilvl="1">
      <w:lvlJc w:val="left"/>
      <w:lvlText w:val="(%2)"/>
      <w:numFmt w:val="decimal"/>
      <w:start w:val="1"/>
    </w:lvl>
    <w:lvl w:ilvl="2">
      <w:lvlJc w:val="left"/>
      <w:lvlText w:val="(%3)"/>
      <w:numFmt w:val="lowerLetter"/>
      <w:start w:val="1"/>
    </w:lvl>
  </w:abstractNum>
  <w:abstractNum w:abstractNumId="43">
    <w:nsid w:val="5DC79EA8"/>
    <w:multiLevelType w:val="hybridMultilevel"/>
    <w:lvl w:ilvl="0">
      <w:lvlJc w:val="left"/>
      <w:lvlText w:val="%1."/>
      <w:numFmt w:val="decimal"/>
      <w:start w:val="62"/>
    </w:lvl>
    <w:lvl w:ilvl="1">
      <w:lvlJc w:val="left"/>
      <w:lvlText w:val="(%2)"/>
      <w:numFmt w:val="decimal"/>
      <w:start w:val="1"/>
    </w:lvl>
    <w:lvl w:ilvl="2">
      <w:lvlJc w:val="left"/>
      <w:lvlText w:val="(%3)"/>
      <w:numFmt w:val="lowerLetter"/>
      <w:start w:val="1"/>
    </w:lvl>
  </w:abstractNum>
  <w:abstractNum w:abstractNumId="44">
    <w:nsid w:val="540A471C"/>
    <w:multiLevelType w:val="hybridMultilevel"/>
    <w:lvl w:ilvl="0">
      <w:lvlJc w:val="left"/>
      <w:lvlText w:val="%1."/>
      <w:numFmt w:val="decimal"/>
      <w:start w:val="66"/>
    </w:lvl>
  </w:abstractNum>
  <w:abstractNum w:abstractNumId="45">
    <w:nsid w:val="7BD3EE7B"/>
    <w:multiLevelType w:val="hybridMultilevel"/>
    <w:lvl w:ilvl="0">
      <w:lvlJc w:val="left"/>
      <w:lvlText w:val="%1."/>
      <w:numFmt w:val="decimal"/>
      <w:start w:val="67"/>
    </w:lvl>
    <w:lvl w:ilvl="1">
      <w:lvlJc w:val="left"/>
      <w:lvlText w:val="(%2)"/>
      <w:numFmt w:val="lowerLetter"/>
      <w:start w:val="1"/>
    </w:lvl>
  </w:abstractNum>
  <w:abstractNum w:abstractNumId="46">
    <w:nsid w:val="51D9C564"/>
    <w:multiLevelType w:val="hybridMultilevel"/>
    <w:lvl w:ilvl="0">
      <w:lvlJc w:val="left"/>
      <w:lvlText w:val="(%1)"/>
      <w:numFmt w:val="lowerLetter"/>
      <w:start w:val="5"/>
    </w:lvl>
  </w:abstractNum>
  <w:abstractNum w:abstractNumId="47">
    <w:nsid w:val="613EFDC5"/>
    <w:multiLevelType w:val="hybridMultilevel"/>
    <w:lvl w:ilvl="0">
      <w:lvlJc w:val="left"/>
      <w:lvlText w:val="%1."/>
      <w:numFmt w:val="decimal"/>
      <w:start w:val="68"/>
    </w:lvl>
  </w:abstractNum>
  <w:abstractNum w:abstractNumId="48">
    <w:nsid w:val="BF72B14"/>
    <w:multiLevelType w:val="hybridMultilevel"/>
    <w:lvl w:ilvl="0">
      <w:lvlJc w:val="left"/>
      <w:lvlText w:val="%1."/>
      <w:numFmt w:val="decimal"/>
      <w:start w:val="75"/>
    </w:lvl>
    <w:lvl w:ilvl="1">
      <w:lvlJc w:val="left"/>
      <w:lvlText w:val="(%2)"/>
      <w:numFmt w:val="decimal"/>
      <w:start w:val="2"/>
    </w:lvl>
  </w:abstractNum>
  <w:abstractNum w:abstractNumId="49">
    <w:nsid w:val="11447B73"/>
    <w:multiLevelType w:val="hybridMultilevel"/>
    <w:lvl w:ilvl="0">
      <w:lvlJc w:val="left"/>
      <w:lvlText w:val="(%1)"/>
      <w:numFmt w:val="lowerLetter"/>
      <w:start w:val="1"/>
    </w:lvl>
  </w:abstractNum>
  <w:abstractNum w:abstractNumId="50">
    <w:nsid w:val="42963E5A"/>
    <w:multiLevelType w:val="hybridMultilevel"/>
    <w:lvl w:ilvl="0">
      <w:lvlJc w:val="left"/>
      <w:lvlText w:val="(%1)"/>
      <w:numFmt w:val="lowerLetter"/>
      <w:start w:val="3"/>
    </w:lvl>
  </w:abstractNum>
  <w:abstractNum w:abstractNumId="51">
    <w:nsid w:val="A0382C5"/>
    <w:multiLevelType w:val="hybridMultilevel"/>
    <w:lvl w:ilvl="0">
      <w:lvlJc w:val="left"/>
      <w:lvlText w:val="%1."/>
      <w:numFmt w:val="decimal"/>
      <w:start w:val="79"/>
    </w:lvl>
  </w:abstractNum>
  <w:abstractNum w:abstractNumId="52">
    <w:nsid w:val="8F2B15E"/>
    <w:multiLevelType w:val="hybridMultilevel"/>
    <w:lvl w:ilvl="0">
      <w:lvlJc w:val="left"/>
      <w:lvlText w:val="%1."/>
      <w:numFmt w:val="decimal"/>
      <w:start w:val="82"/>
    </w:lvl>
  </w:abstractNum>
  <w:abstractNum w:abstractNumId="53">
    <w:nsid w:val="1A32234B"/>
    <w:multiLevelType w:val="hybridMultilevel"/>
    <w:lvl w:ilvl="0">
      <w:lvlJc w:val="left"/>
      <w:lvlText w:val="%1."/>
      <w:numFmt w:val="decimal"/>
      <w:start w:val="85"/>
    </w:lvl>
    <w:lvl w:ilvl="1">
      <w:lvlJc w:val="left"/>
      <w:lvlText w:val="(%2)"/>
      <w:numFmt w:val="decimal"/>
      <w:start w:val="2"/>
    </w:lvl>
  </w:abstractNum>
  <w:abstractNum w:abstractNumId="54">
    <w:nsid w:val="3B0FD379"/>
    <w:multiLevelType w:val="hybridMultilevel"/>
    <w:lvl w:ilvl="0">
      <w:lvlJc w:val="left"/>
      <w:lvlText w:val="(%1)"/>
      <w:numFmt w:val="decimal"/>
      <w:start w:val="3"/>
    </w:lvl>
  </w:abstractNum>
  <w:abstractNum w:abstractNumId="55">
    <w:nsid w:val="68EB2F63"/>
    <w:multiLevelType w:val="hybridMultilevel"/>
    <w:lvl w:ilvl="0">
      <w:lvlJc w:val="left"/>
      <w:lvlText w:val="%1."/>
      <w:numFmt w:val="decimal"/>
      <w:start w:val="86"/>
    </w:lvl>
  </w:abstractNum>
  <w:abstractNum w:abstractNumId="56">
    <w:nsid w:val="4962813B"/>
    <w:multiLevelType w:val="hybridMultilevel"/>
    <w:lvl w:ilvl="0">
      <w:lvlJc w:val="left"/>
      <w:lvlText w:val="%1."/>
      <w:numFmt w:val="decimal"/>
      <w:start w:val="87"/>
    </w:lvl>
    <w:lvl w:ilvl="1">
      <w:lvlJc w:val="left"/>
      <w:lvlText w:val="(%2)"/>
      <w:numFmt w:val="decimal"/>
      <w:start w:val="2"/>
    </w:lvl>
  </w:abstractNum>
  <w:abstractNum w:abstractNumId="57">
    <w:nsid w:val="60B6DF70"/>
    <w:multiLevelType w:val="hybridMultilevel"/>
    <w:lvl w:ilvl="0">
      <w:lvlJc w:val="left"/>
      <w:lvlText w:val="(%1)"/>
      <w:numFmt w:val="decimal"/>
      <w:start w:val="5"/>
    </w:lvl>
  </w:abstractNum>
  <w:abstractNum w:abstractNumId="58">
    <w:nsid w:val="6A5EE64"/>
    <w:multiLevelType w:val="hybridMultilevel"/>
    <w:lvl w:ilvl="0">
      <w:lvlJc w:val="left"/>
      <w:lvlText w:val="%1."/>
      <w:numFmt w:val="decimal"/>
      <w:start w:val="88"/>
    </w:lvl>
    <w:lvl w:ilvl="1">
      <w:lvlJc w:val="left"/>
      <w:lvlText w:val="(%2)"/>
      <w:numFmt w:val="decimal"/>
      <w:start w:val="1"/>
    </w:lvl>
  </w:abstractNum>
  <w:abstractNum w:abstractNumId="59">
    <w:nsid w:val="14330624"/>
    <w:multiLevelType w:val="hybridMultilevel"/>
    <w:lvl w:ilvl="0">
      <w:lvlJc w:val="left"/>
      <w:lvlText w:val="%1."/>
      <w:numFmt w:val="decimal"/>
      <w:start w:val="89"/>
    </w:lvl>
  </w:abstractNum>
  <w:abstractNum w:abstractNumId="60">
    <w:nsid w:val="7FFFCA11"/>
    <w:multiLevelType w:val="hybridMultilevel"/>
    <w:lvl w:ilvl="0">
      <w:lvlJc w:val="left"/>
      <w:lvlText w:val="%1."/>
      <w:numFmt w:val="decimal"/>
      <w:start w:val="91"/>
    </w:lvl>
  </w:abstractNum>
  <w:abstractNum w:abstractNumId="61">
    <w:nsid w:val="1A27709E"/>
    <w:multiLevelType w:val="hybridMultilevel"/>
    <w:lvl w:ilvl="0">
      <w:lvlJc w:val="left"/>
      <w:lvlText w:val="%1."/>
      <w:numFmt w:val="decimal"/>
      <w:start w:val="92"/>
    </w:lvl>
  </w:abstractNum>
  <w:abstractNum w:abstractNumId="62">
    <w:nsid w:val="71EA1109"/>
    <w:multiLevelType w:val="hybridMultilevel"/>
    <w:lvl w:ilvl="0">
      <w:lvlJc w:val="left"/>
      <w:lvlText w:val="%1."/>
      <w:numFmt w:val="decimal"/>
      <w:start w:val="95"/>
    </w:lvl>
  </w:abstractNum>
  <w:abstractNum w:abstractNumId="63">
    <w:nsid w:val="100F59DC"/>
    <w:multiLevelType w:val="hybridMultilevel"/>
    <w:lvl w:ilvl="0">
      <w:lvlJc w:val="left"/>
      <w:lvlText w:val="%1."/>
      <w:numFmt w:val="decimal"/>
      <w:start w:val="96"/>
    </w:lvl>
  </w:abstractNum>
  <w:abstractNum w:abstractNumId="64">
    <w:nsid w:val="7FB7E0AA"/>
    <w:multiLevelType w:val="hybridMultilevel"/>
    <w:lvl w:ilvl="0">
      <w:lvlJc w:val="left"/>
      <w:lvlText w:val="%1."/>
      <w:numFmt w:val="decimal"/>
      <w:start w:val="98"/>
    </w:lvl>
    <w:lvl w:ilvl="1">
      <w:lvlJc w:val="left"/>
      <w:lvlText w:val="(%2)"/>
      <w:numFmt w:val="lowerLetter"/>
      <w:start w:val="1"/>
    </w:lvl>
  </w:abstractNum>
  <w:abstractNum w:abstractNumId="65">
    <w:nsid w:val="6EB5BD4"/>
    <w:multiLevelType w:val="hybridMultilevel"/>
    <w:lvl w:ilvl="0">
      <w:lvlJc w:val="left"/>
      <w:lvlText w:val="%1."/>
      <w:numFmt w:val="decimal"/>
      <w:start w:val="99"/>
    </w:lvl>
    <w:lvl w:ilvl="1">
      <w:lvlJc w:val="left"/>
      <w:lvlText w:val="(%2)"/>
      <w:numFmt w:val="lowerLetter"/>
      <w:start w:val="1"/>
    </w:lvl>
  </w:abstractNum>
  <w:abstractNum w:abstractNumId="66">
    <w:nsid w:val="6F6DD9AC"/>
    <w:multiLevelType w:val="hybridMultilevel"/>
    <w:lvl w:ilvl="0">
      <w:lvlJc w:val="left"/>
      <w:lvlText w:val="%1."/>
      <w:numFmt w:val="decimal"/>
      <w:start w:val="101"/>
    </w:lvl>
  </w:abstractNum>
  <w:abstractNum w:abstractNumId="67">
    <w:nsid w:val="94211F2"/>
    <w:multiLevelType w:val="hybridMultilevel"/>
    <w:lvl w:ilvl="0">
      <w:lvlJc w:val="left"/>
      <w:lvlText w:val="%1."/>
      <w:numFmt w:val="decimal"/>
      <w:start w:val="102"/>
    </w:lvl>
    <w:lvl w:ilvl="1">
      <w:lvlJc w:val="left"/>
      <w:lvlText w:val="(%2)"/>
      <w:numFmt w:val="decimal"/>
      <w:start w:val="2"/>
    </w:lvl>
    <w:lvl w:ilvl="2">
      <w:lvlJc w:val="left"/>
      <w:lvlText w:val="(%3)"/>
      <w:numFmt w:val="lowerLetter"/>
      <w:start w:val="1"/>
    </w:lvl>
  </w:abstractNum>
  <w:abstractNum w:abstractNumId="68">
    <w:nsid w:val="885E1B"/>
    <w:multiLevelType w:val="hybridMultilevel"/>
    <w:lvl w:ilvl="0">
      <w:lvlJc w:val="left"/>
      <w:lvlText w:val="%1."/>
      <w:numFmt w:val="decimal"/>
      <w:start w:val="103"/>
    </w:lvl>
  </w:abstractNum>
  <w:abstractNum w:abstractNumId="69">
    <w:nsid w:val="76272110"/>
    <w:multiLevelType w:val="hybridMultilevel"/>
    <w:lvl w:ilvl="0">
      <w:lvlJc w:val="left"/>
      <w:lvlText w:val="%1."/>
      <w:numFmt w:val="decimal"/>
      <w:start w:val="107"/>
    </w:lvl>
    <w:lvl w:ilvl="1">
      <w:lvlJc w:val="left"/>
      <w:lvlText w:val="(%2)"/>
      <w:numFmt w:val="decimal"/>
      <w:start w:val="2"/>
    </w:lvl>
  </w:abstractNum>
  <w:abstractNum w:abstractNumId="70">
    <w:nsid w:val="4C04A8AF"/>
    <w:multiLevelType w:val="hybridMultilevel"/>
    <w:lvl w:ilvl="0">
      <w:lvlJc w:val="left"/>
      <w:lvlText w:val="%1."/>
      <w:numFmt w:val="decimal"/>
      <w:start w:val="108"/>
    </w:lvl>
    <w:lvl w:ilvl="1">
      <w:lvlJc w:val="left"/>
      <w:lvlText w:val="(%2)"/>
      <w:numFmt w:val="decimal"/>
      <w:start w:val="2"/>
    </w:lvl>
  </w:abstractNum>
  <w:abstractNum w:abstractNumId="71">
    <w:nsid w:val="1716703B"/>
    <w:multiLevelType w:val="hybridMultilevel"/>
    <w:lvl w:ilvl="0">
      <w:lvlJc w:val="left"/>
      <w:lvlText w:val="%1."/>
      <w:numFmt w:val="decimal"/>
      <w:start w:val="112"/>
    </w:lvl>
    <w:lvl w:ilvl="1">
      <w:lvlJc w:val="left"/>
      <w:lvlText w:val="(%2)"/>
      <w:numFmt w:val="decimal"/>
      <w:start w:val="2"/>
    </w:lvl>
  </w:abstractNum>
  <w:abstractNum w:abstractNumId="72">
    <w:nsid w:val="14E17E33"/>
    <w:multiLevelType w:val="hybridMultilevel"/>
    <w:lvl w:ilvl="0">
      <w:lvlJc w:val="left"/>
      <w:lvlText w:val="%1."/>
      <w:numFmt w:val="decimal"/>
      <w:start w:val="118"/>
    </w:lvl>
    <w:lvl w:ilvl="1">
      <w:lvlJc w:val="left"/>
      <w:lvlText w:val="(%2)"/>
      <w:numFmt w:val="decimal"/>
      <w:start w:val="2"/>
    </w:lvl>
  </w:abstractNum>
  <w:abstractNum w:abstractNumId="73">
    <w:nsid w:val="3222E7CD"/>
    <w:multiLevelType w:val="hybridMultilevel"/>
    <w:lvl w:ilvl="0">
      <w:lvlJc w:val="left"/>
      <w:lvlText w:val="%1."/>
      <w:numFmt w:val="decimal"/>
      <w:start w:val="122"/>
    </w:lvl>
  </w:abstractNum>
  <w:abstractNum w:abstractNumId="74">
    <w:nsid w:val="74DE0EE3"/>
    <w:multiLevelType w:val="hybridMultilevel"/>
    <w:lvl w:ilvl="0">
      <w:lvlJc w:val="left"/>
      <w:lvlText w:val="%1."/>
      <w:numFmt w:val="decimal"/>
      <w:start w:val="125"/>
    </w:lvl>
    <w:lvl w:ilvl="1">
      <w:lvlJc w:val="left"/>
      <w:lvlText w:val="(%2)"/>
      <w:numFmt w:val="decimal"/>
      <w:start w:val="2"/>
    </w:lvl>
  </w:abstractNum>
  <w:abstractNum w:abstractNumId="75">
    <w:nsid w:val="68EBC550"/>
    <w:multiLevelType w:val="hybridMultilevel"/>
    <w:lvl w:ilvl="0">
      <w:lvlJc w:val="left"/>
      <w:lvlText w:val="%1."/>
      <w:numFmt w:val="decimal"/>
      <w:start w:val="127"/>
    </w:lvl>
  </w:abstractNum>
  <w:abstractNum w:abstractNumId="76">
    <w:nsid w:val="2DF6D648"/>
    <w:multiLevelType w:val="hybridMultilevel"/>
    <w:lvl w:ilvl="0">
      <w:lvlJc w:val="left"/>
      <w:lvlText w:val="%1."/>
      <w:numFmt w:val="decimal"/>
      <w:start w:val="129"/>
    </w:lvl>
  </w:abstractNum>
  <w:abstractNum w:abstractNumId="77">
    <w:nsid w:val="46B7D447"/>
    <w:multiLevelType w:val="hybridMultilevel"/>
    <w:lvl w:ilvl="0">
      <w:lvlJc w:val="left"/>
      <w:lvlText w:val="%1."/>
      <w:numFmt w:val="decimal"/>
      <w:start w:val="130"/>
    </w:lvl>
    <w:lvl w:ilvl="1">
      <w:lvlJc w:val="left"/>
      <w:lvlText w:val="(%2)"/>
      <w:numFmt w:val="lowerLetter"/>
      <w:start w:val="1"/>
    </w:lvl>
  </w:abstractNum>
  <w:abstractNum w:abstractNumId="78">
    <w:nsid w:val="4A2AC315"/>
    <w:multiLevelType w:val="hybridMultilevel"/>
    <w:lvl w:ilvl="0">
      <w:lvlJc w:val="left"/>
      <w:lvlText w:val="(%1)"/>
      <w:numFmt w:val="decimal"/>
      <w:start w:val="2"/>
    </w:lvl>
  </w:abstractNum>
  <w:abstractNum w:abstractNumId="79">
    <w:nsid w:val="39EE015C"/>
    <w:multiLevelType w:val="hybridMultilevel"/>
    <w:lvl w:ilvl="0">
      <w:lvlJc w:val="left"/>
      <w:lvlText w:val="%1."/>
      <w:numFmt w:val="decimal"/>
      <w:start w:val="131"/>
    </w:lvl>
  </w:abstractNum>
  <w:abstractNum w:abstractNumId="80">
    <w:nsid w:val="57FC4FBB"/>
    <w:multiLevelType w:val="hybridMultilevel"/>
    <w:lvl w:ilvl="0">
      <w:lvlJc w:val="left"/>
      <w:lvlText w:val="(%1)"/>
      <w:numFmt w:val="decimal"/>
      <w:start w:val="2"/>
    </w:lvl>
  </w:abstractNum>
  <w:abstractNum w:abstractNumId="81">
    <w:nsid w:val="CC1016F"/>
    <w:multiLevelType w:val="hybridMultilevel"/>
    <w:lvl w:ilvl="0">
      <w:lvlJc w:val="left"/>
      <w:lvlText w:val="%1."/>
      <w:numFmt w:val="decimal"/>
      <w:start w:val="132"/>
    </w:lvl>
  </w:abstractNum>
  <w:abstractNum w:abstractNumId="82">
    <w:nsid w:val="43F18422"/>
    <w:multiLevelType w:val="hybridMultilevel"/>
    <w:lvl w:ilvl="0">
      <w:lvlJc w:val="left"/>
      <w:lvlText w:val="%1."/>
      <w:numFmt w:val="decimal"/>
      <w:start w:val="133"/>
    </w:lvl>
    <w:lvl w:ilvl="1">
      <w:lvlJc w:val="left"/>
      <w:lvlText w:val="(%2)"/>
      <w:numFmt w:val="lowerLetter"/>
      <w:start w:val="1"/>
    </w:lvl>
  </w:abstractNum>
  <w:abstractNum w:abstractNumId="83">
    <w:nsid w:val="60EF0119"/>
    <w:multiLevelType w:val="hybridMultilevel"/>
    <w:lvl w:ilvl="0">
      <w:lvlJc w:val="left"/>
      <w:lvlText w:val="(%1)"/>
      <w:numFmt w:val="decimal"/>
      <w:start w:val="2"/>
    </w:lvl>
  </w:abstractNum>
  <w:abstractNum w:abstractNumId="84">
    <w:nsid w:val="26F324BA"/>
    <w:multiLevelType w:val="hybridMultilevel"/>
    <w:lvl w:ilvl="0">
      <w:lvlJc w:val="left"/>
      <w:lvlText w:val="%1."/>
      <w:numFmt w:val="decimal"/>
      <w:start w:val="134"/>
    </w:lvl>
    <w:lvl w:ilvl="1">
      <w:lvlJc w:val="left"/>
      <w:lvlText w:val="(%2)"/>
      <w:numFmt w:val="lowerLetter"/>
      <w:start w:val="1"/>
    </w:lvl>
  </w:abstractNum>
  <w:abstractNum w:abstractNumId="85">
    <w:nsid w:val="7F01579B"/>
    <w:multiLevelType w:val="hybridMultilevel"/>
    <w:lvl w:ilvl="0">
      <w:lvlJc w:val="left"/>
      <w:lvlText w:val="%1."/>
      <w:numFmt w:val="decimal"/>
      <w:start w:val="137"/>
    </w:lvl>
  </w:abstractNum>
  <w:abstractNum w:abstractNumId="86">
    <w:nsid w:val="49DA307D"/>
    <w:multiLevelType w:val="hybridMultilevel"/>
    <w:lvl w:ilvl="0">
      <w:lvlJc w:val="left"/>
      <w:lvlText w:val="%1."/>
      <w:numFmt w:val="decimal"/>
      <w:start w:val="142"/>
    </w:lvl>
    <w:lvl w:ilvl="1">
      <w:lvlJc w:val="left"/>
      <w:lvlText w:val="(%2)"/>
      <w:numFmt w:val="lowerLetter"/>
      <w:start w:val="1"/>
    </w:lvl>
    <w:lvl w:ilvl="2">
      <w:lvlJc w:val="left"/>
      <w:lvlText w:val="(%3)"/>
      <w:numFmt w:val="lowerRoman"/>
      <w:start w:val="1"/>
    </w:lvl>
  </w:abstractNum>
  <w:abstractNum w:abstractNumId="87">
    <w:nsid w:val="7055A5F5"/>
    <w:multiLevelType w:val="hybridMultilevel"/>
    <w:lvl w:ilvl="0">
      <w:lvlJc w:val="left"/>
      <w:lvlText w:val="%1"/>
      <w:numFmt w:val="lowerLetter"/>
      <w:start w:val="1"/>
    </w:lvl>
    <w:lvl w:ilvl="1">
      <w:lvlJc w:val="left"/>
      <w:lvlText w:val="(%2)"/>
      <w:numFmt w:val="lowerRoman"/>
      <w:start w:val="4"/>
    </w:lvl>
  </w:abstractNum>
  <w:abstractNum w:abstractNumId="88">
    <w:nsid w:val="5FB8370B"/>
    <w:multiLevelType w:val="hybridMultilevel"/>
    <w:lvl w:ilvl="0">
      <w:lvlJc w:val="left"/>
      <w:lvlText w:val="(%1)"/>
      <w:numFmt w:val="lowerLetter"/>
      <w:start w:val="2"/>
    </w:lvl>
    <w:lvl w:ilvl="1">
      <w:lvlJc w:val="left"/>
      <w:lvlText w:val="(%2)"/>
      <w:numFmt w:val="lowerRoman"/>
      <w:start w:val="1"/>
    </w:lvl>
  </w:abstractNum>
  <w:abstractNum w:abstractNumId="89">
    <w:nsid w:val="50801EE1"/>
    <w:multiLevelType w:val="hybridMultilevel"/>
    <w:lvl w:ilvl="0">
      <w:lvlJc w:val="left"/>
      <w:lvlText w:val="(%1)"/>
      <w:numFmt w:val="decimal"/>
      <w:start w:val="2"/>
    </w:lvl>
    <w:lvl w:ilvl="1">
      <w:lvlJc w:val="left"/>
      <w:lvlText w:val="(%2)"/>
      <w:numFmt w:val="lowerLetter"/>
      <w:start w:val="2"/>
    </w:lvl>
  </w:abstractNum>
  <w:abstractNum w:abstractNumId="90">
    <w:nsid w:val="488AC1A"/>
    <w:multiLevelType w:val="hybridMultilevel"/>
    <w:lvl w:ilvl="0">
      <w:lvlJc w:val="left"/>
      <w:lvlText w:val="%1."/>
      <w:numFmt w:val="decimal"/>
      <w:start w:val="144"/>
    </w:lvl>
    <w:lvl w:ilvl="1">
      <w:lvlJc w:val="left"/>
      <w:lvlText w:val="(%2)"/>
      <w:numFmt w:val="decimal"/>
      <w:start w:val="2"/>
    </w:lvl>
  </w:abstractNum>
  <w:abstractNum w:abstractNumId="91">
    <w:nsid w:val="5FB8011C"/>
    <w:multiLevelType w:val="hybridMultilevel"/>
    <w:lvl w:ilvl="0">
      <w:lvlJc w:val="left"/>
      <w:lvlText w:val="%1."/>
      <w:numFmt w:val="decimal"/>
      <w:start w:val="145"/>
    </w:lvl>
  </w:abstractNum>
  <w:abstractNum w:abstractNumId="92">
    <w:nsid w:val="6AA78F7F"/>
    <w:multiLevelType w:val="hybridMultilevel"/>
    <w:lvl w:ilvl="0">
      <w:lvlJc w:val="left"/>
      <w:lvlText w:val="%1."/>
      <w:numFmt w:val="decimal"/>
      <w:start w:val="147"/>
    </w:lvl>
  </w:abstractNum>
  <w:abstractNum w:abstractNumId="93">
    <w:nsid w:val="7672BD23"/>
    <w:multiLevelType w:val="hybridMultilevel"/>
    <w:lvl w:ilvl="0">
      <w:lvlJc w:val="left"/>
      <w:lvlText w:val="%1."/>
      <w:numFmt w:val="decimal"/>
      <w:start w:val="152"/>
    </w:lvl>
  </w:abstractNum>
  <w:abstractNum w:abstractNumId="94">
    <w:nsid w:val="6FC75AF8"/>
    <w:multiLevelType w:val="hybridMultilevel"/>
    <w:lvl w:ilvl="0">
      <w:lvlJc w:val="left"/>
      <w:lvlText w:val="%1."/>
      <w:numFmt w:val="decimal"/>
      <w:start w:val="156"/>
    </w:lvl>
    <w:lvl w:ilvl="1">
      <w:lvlJc w:val="left"/>
      <w:lvlText w:val="(%2)"/>
      <w:numFmt w:val="lowerLetter"/>
      <w:start w:val="1"/>
    </w:lvl>
  </w:abstractNum>
  <w:abstractNum w:abstractNumId="95">
    <w:nsid w:val="6A5F7029"/>
    <w:multiLevelType w:val="hybridMultilevel"/>
    <w:lvl w:ilvl="0">
      <w:lvlJc w:val="left"/>
      <w:lvlText w:val="%1."/>
      <w:numFmt w:val="decimal"/>
      <w:start w:val="158"/>
    </w:lvl>
    <w:lvl w:ilvl="1">
      <w:lvlJc w:val="left"/>
      <w:lvlText w:val="(%2)"/>
      <w:numFmt w:val="decimal"/>
      <w:start w:val="2"/>
    </w:lvl>
  </w:abstractNum>
  <w:abstractNum w:abstractNumId="96">
    <w:nsid w:val="7D5E18F8"/>
    <w:multiLevelType w:val="hybridMultilevel"/>
    <w:lvl w:ilvl="0">
      <w:lvlJc w:val="left"/>
      <w:lvlText w:val="%1."/>
      <w:numFmt w:val="decimal"/>
      <w:start w:val="159"/>
    </w:lvl>
  </w:abstractNum>
  <w:abstractNum w:abstractNumId="97">
    <w:nsid w:val="5F3534A4"/>
    <w:multiLevelType w:val="hybridMultilevel"/>
    <w:lvl w:ilvl="0">
      <w:lvlJc w:val="left"/>
      <w:lvlText w:val="%1."/>
      <w:numFmt w:val="decimal"/>
      <w:start w:val="160"/>
    </w:lvl>
    <w:lvl w:ilvl="1">
      <w:lvlJc w:val="left"/>
      <w:lvlText w:val="(%2)"/>
      <w:numFmt w:val="decimal"/>
      <w:start w:val="2"/>
    </w:lvl>
  </w:abstractNum>
  <w:abstractNum w:abstractNumId="98">
    <w:nsid w:val="73A1821B"/>
    <w:multiLevelType w:val="hybridMultilevel"/>
    <w:lvl w:ilvl="0">
      <w:lvlJc w:val="left"/>
      <w:lvlText w:val="%1."/>
      <w:numFmt w:val="decimal"/>
      <w:start w:val="161"/>
    </w:lvl>
    <w:lvl w:ilvl="1">
      <w:lvlJc w:val="left"/>
      <w:lvlText w:val="(%2)"/>
      <w:numFmt w:val="decimal"/>
      <w:start w:val="2"/>
    </w:lvl>
  </w:abstractNum>
  <w:abstractNum w:abstractNumId="99">
    <w:nsid w:val="7DE67713"/>
    <w:multiLevelType w:val="hybridMultilevel"/>
    <w:lvl w:ilvl="0">
      <w:lvlJc w:val="left"/>
      <w:lvlText w:val="%1."/>
      <w:numFmt w:val="decimal"/>
      <w:start w:val="162"/>
    </w:lvl>
  </w:abstractNum>
  <w:abstractNum w:abstractNumId="100">
    <w:nsid w:val="555C55B5"/>
    <w:multiLevelType w:val="hybridMultilevel"/>
    <w:lvl w:ilvl="0">
      <w:lvlJc w:val="left"/>
      <w:lvlText w:val="(%1)"/>
      <w:numFmt w:val="decimal"/>
      <w:start w:val="2"/>
    </w:lvl>
  </w:abstractNum>
  <w:abstractNum w:abstractNumId="101">
    <w:nsid w:val="3FA62ACA"/>
    <w:multiLevelType w:val="hybridMultilevel"/>
    <w:lvl w:ilvl="0">
      <w:lvlJc w:val="left"/>
      <w:lvlText w:val="%1."/>
      <w:numFmt w:val="decimal"/>
      <w:start w:val="163"/>
    </w:lvl>
  </w:abstractNum>
  <w:abstractNum w:abstractNumId="102">
    <w:nsid w:val="14FCE74E"/>
    <w:multiLevelType w:val="hybridMultilevel"/>
    <w:lvl w:ilvl="0">
      <w:lvlJc w:val="left"/>
      <w:lvlText w:val="%1."/>
      <w:numFmt w:val="decimal"/>
      <w:start w:val="164"/>
    </w:lvl>
  </w:abstractNum>
  <w:abstractNum w:abstractNumId="103">
    <w:nsid w:val="6A3DD3E8"/>
    <w:multiLevelType w:val="hybridMultilevel"/>
    <w:lvl w:ilvl="0">
      <w:lvlJc w:val="left"/>
      <w:lvlText w:val="%1."/>
      <w:numFmt w:val="decimal"/>
      <w:start w:val="16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2026-06-30T15:03:55Z</dcterms:created>
  <dcterms:modified xsi:type="dcterms:W3CDTF">2026-06-30T15:03:55Z</dcterms:modified>
</cp:coreProperties>
</file>