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Kingsoft Cloud Holdings Limited</w:t>
      </w:r>
    </w:p>
    <w:p>
      <w:pPr>
        <w:spacing w:after="0" w:line="4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Building D, Xiaomi Science and Technology Park, No. 33 Xierqi Middle Road,</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Haidian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100085, the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Announcement — Record Date for the Forthcoming Annual General Meeting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Kingsoft Cloud Holdings Limited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Yi Li</w:t>
            </w:r>
          </w:p>
        </w:tc>
      </w:tr>
      <w:tr>
        <w:trPr>
          <w:trHeight w:val="191"/>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Yi Li</w:t>
            </w:r>
          </w:p>
        </w:tc>
      </w:tr>
      <w:tr>
        <w:trPr>
          <w:trHeight w:val="234"/>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48"/>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123190</wp:posOffset>
            </wp:positionV>
            <wp:extent cx="2648585" cy="625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4858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Kingsoft Cloud Holdings Limited</w:t>
      </w:r>
    </w:p>
    <w:p>
      <w:pPr>
        <w:spacing w:after="0" w:line="34" w:lineRule="exact"/>
        <w:rPr>
          <w:sz w:val="20"/>
          <w:szCs w:val="20"/>
          <w:color w:val="auto"/>
        </w:rPr>
      </w:pPr>
    </w:p>
    <w:p>
      <w:pPr>
        <w:jc w:val="center"/>
        <w:ind w:right="-59"/>
        <w:spacing w:after="0" w:line="206" w:lineRule="exact"/>
        <w:rPr>
          <w:sz w:val="20"/>
          <w:szCs w:val="20"/>
          <w:color w:val="auto"/>
        </w:rPr>
      </w:pPr>
      <w:r>
        <w:rPr>
          <w:rFonts w:ascii="SimSun" w:cs="SimSun" w:eastAsia="SimSun" w:hAnsi="SimSun"/>
          <w:sz w:val="18"/>
          <w:szCs w:val="18"/>
          <w:color w:val="auto"/>
          <w:shd w:val="clear" w:color="auto" w:fill="231F20"/>
        </w:rPr>
        <w:t>金山云控股有限公司</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(Incorporated in the Cayman Islands with limited liability)</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(Stock Code: 3896)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(Nasdaq Stock Ticker: KC)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RECORD DATE FOR THE FORTHCOMING</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ANNUAL GENERAL MEETING OF THE COMPANY</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231F20"/>
        </w:rPr>
        <w:t>The board (the “</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of directors (each a “</w:t>
      </w:r>
      <w:r>
        <w:rPr>
          <w:rFonts w:ascii="Times New Roman" w:cs="Times New Roman" w:eastAsia="Times New Roman" w:hAnsi="Times New Roman"/>
          <w:sz w:val="18"/>
          <w:szCs w:val="18"/>
          <w:b w:val="1"/>
          <w:bCs w:val="1"/>
          <w:color w:val="231F20"/>
        </w:rPr>
        <w:t>Director</w:t>
      </w:r>
      <w:r>
        <w:rPr>
          <w:rFonts w:ascii="Times New Roman" w:cs="Times New Roman" w:eastAsia="Times New Roman" w:hAnsi="Times New Roman"/>
          <w:sz w:val="18"/>
          <w:szCs w:val="18"/>
          <w:color w:val="231F20"/>
        </w:rPr>
        <w:t>” and collectively, the “</w:t>
      </w:r>
      <w:r>
        <w:rPr>
          <w:rFonts w:ascii="Times New Roman" w:cs="Times New Roman" w:eastAsia="Times New Roman" w:hAnsi="Times New Roman"/>
          <w:sz w:val="18"/>
          <w:szCs w:val="18"/>
          <w:b w:val="1"/>
          <w:bCs w:val="1"/>
          <w:color w:val="231F20"/>
        </w:rPr>
        <w:t>Directors</w:t>
      </w:r>
      <w:r>
        <w:rPr>
          <w:rFonts w:ascii="Times New Roman" w:cs="Times New Roman" w:eastAsia="Times New Roman" w:hAnsi="Times New Roman"/>
          <w:sz w:val="18"/>
          <w:szCs w:val="18"/>
          <w:color w:val="231F20"/>
        </w:rPr>
        <w:t>”) of Kingsoft Cloud Holdings Limited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announces the record date for the purpose of determining the eligibility of the holders of ordinary shares of the Company with par value US$0.001 each (the “</w:t>
      </w:r>
      <w:r>
        <w:rPr>
          <w:rFonts w:ascii="Times New Roman" w:cs="Times New Roman" w:eastAsia="Times New Roman" w:hAnsi="Times New Roman"/>
          <w:sz w:val="18"/>
          <w:szCs w:val="18"/>
          <w:b w:val="1"/>
          <w:bCs w:val="1"/>
          <w:color w:val="231F20"/>
        </w:rPr>
        <w:t>Shares</w:t>
      </w:r>
      <w:r>
        <w:rPr>
          <w:rFonts w:ascii="Times New Roman" w:cs="Times New Roman" w:eastAsia="Times New Roman" w:hAnsi="Times New Roman"/>
          <w:sz w:val="18"/>
          <w:szCs w:val="18"/>
          <w:color w:val="231F20"/>
        </w:rPr>
        <w:t>”), to vote and attend the forthcoming annual general meeting of the Company (the “</w:t>
      </w:r>
      <w:r>
        <w:rPr>
          <w:rFonts w:ascii="Times New Roman" w:cs="Times New Roman" w:eastAsia="Times New Roman" w:hAnsi="Times New Roman"/>
          <w:sz w:val="18"/>
          <w:szCs w:val="18"/>
          <w:b w:val="1"/>
          <w:bCs w:val="1"/>
          <w:color w:val="231F20"/>
        </w:rPr>
        <w:t>AGM</w:t>
      </w:r>
      <w:r>
        <w:rPr>
          <w:rFonts w:ascii="Times New Roman" w:cs="Times New Roman" w:eastAsia="Times New Roman" w:hAnsi="Times New Roman"/>
          <w:sz w:val="18"/>
          <w:szCs w:val="18"/>
          <w:color w:val="231F20"/>
        </w:rPr>
        <w:t>”) will be as of the close of business on Tuesday, June 2, 2026, Hong Kong time (the “</w:t>
      </w:r>
      <w:r>
        <w:rPr>
          <w:rFonts w:ascii="Times New Roman" w:cs="Times New Roman" w:eastAsia="Times New Roman" w:hAnsi="Times New Roman"/>
          <w:sz w:val="18"/>
          <w:szCs w:val="18"/>
          <w:b w:val="1"/>
          <w:bCs w:val="1"/>
          <w:color w:val="231F20"/>
        </w:rPr>
        <w:t>Shares Record Date</w:t>
      </w:r>
      <w:r>
        <w:rPr>
          <w:rFonts w:ascii="Times New Roman" w:cs="Times New Roman" w:eastAsia="Times New Roman" w:hAnsi="Times New Roman"/>
          <w:sz w:val="18"/>
          <w:szCs w:val="18"/>
          <w:color w:val="231F20"/>
        </w:rPr>
        <w:t>”).</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order to be eligible to vote and attend the forthcoming AGM, (1) with respect to Shares registered with the Company’s Hong Kong share registrar, all valid documents for the transfers of shares accompanied by the relevant share certificates must be lodged with the Company’s Hong Kong share registrar, Tricor Investor Services Limited (the “</w:t>
      </w:r>
      <w:r>
        <w:rPr>
          <w:rFonts w:ascii="Times New Roman" w:cs="Times New Roman" w:eastAsia="Times New Roman" w:hAnsi="Times New Roman"/>
          <w:sz w:val="18"/>
          <w:szCs w:val="18"/>
          <w:b w:val="1"/>
          <w:bCs w:val="1"/>
          <w:color w:val="231F20"/>
        </w:rPr>
        <w:t>Hong Kong Share Registrar</w:t>
      </w:r>
      <w:r>
        <w:rPr>
          <w:rFonts w:ascii="Times New Roman" w:cs="Times New Roman" w:eastAsia="Times New Roman" w:hAnsi="Times New Roman"/>
          <w:sz w:val="18"/>
          <w:szCs w:val="18"/>
          <w:color w:val="231F20"/>
        </w:rPr>
        <w:t>”), at 17/F, Far East Finance Centre, 16 Harcourt Road, Hong Kong, no later than 4:30 p.m. on Tuesday, June 2, 2026, Hong Kong time; and (2) with respect to Shares registered with the Company’s principal share registrar in the Cayman Islands, all valid documents for the transfers of Shares accompanied by the relevant share certificates must be lodged with the Company’s principal share registrar, Conyers Trust Company (Cayman) Limited, at Cricket Square, Hutchins Drive, P.O. Box 2681, Grand Cayman KY1-1111, Cayman Islands, no later than 3:30 p.m. on Monday, June 1, 2026, Cayman Islands time. All persons who are registered holders of the Shares on the Shares Record Date will be entitled to vote and attend the forthcoming AGM.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231F20"/>
        </w:rPr>
        <w:t>Holders of American Depositary Shares of the Company (the “</w:t>
      </w:r>
      <w:r>
        <w:rPr>
          <w:rFonts w:ascii="Times New Roman" w:cs="Times New Roman" w:eastAsia="Times New Roman" w:hAnsi="Times New Roman"/>
          <w:sz w:val="18"/>
          <w:szCs w:val="18"/>
          <w:b w:val="1"/>
          <w:bCs w:val="1"/>
          <w:color w:val="231F20"/>
        </w:rPr>
        <w:t>ADSs</w:t>
      </w:r>
      <w:r>
        <w:rPr>
          <w:rFonts w:ascii="Times New Roman" w:cs="Times New Roman" w:eastAsia="Times New Roman" w:hAnsi="Times New Roman"/>
          <w:sz w:val="18"/>
          <w:szCs w:val="18"/>
          <w:color w:val="231F20"/>
        </w:rPr>
        <w:t>”) issued by The Bank of New York Mellon as the depositary of the ADSs (the “</w:t>
      </w:r>
      <w:r>
        <w:rPr>
          <w:rFonts w:ascii="Times New Roman" w:cs="Times New Roman" w:eastAsia="Times New Roman" w:hAnsi="Times New Roman"/>
          <w:sz w:val="18"/>
          <w:szCs w:val="18"/>
          <w:b w:val="1"/>
          <w:bCs w:val="1"/>
          <w:color w:val="231F20"/>
        </w:rPr>
        <w:t>Depositary</w:t>
      </w:r>
      <w:r>
        <w:rPr>
          <w:rFonts w:ascii="Times New Roman" w:cs="Times New Roman" w:eastAsia="Times New Roman" w:hAnsi="Times New Roman"/>
          <w:sz w:val="18"/>
          <w:szCs w:val="18"/>
          <w:color w:val="231F20"/>
        </w:rPr>
        <w:t>”), as of the close of business on Tuesday, June 2, 2026, New York time (the “</w:t>
      </w:r>
      <w:r>
        <w:rPr>
          <w:rFonts w:ascii="Times New Roman" w:cs="Times New Roman" w:eastAsia="Times New Roman" w:hAnsi="Times New Roman"/>
          <w:sz w:val="18"/>
          <w:szCs w:val="18"/>
          <w:b w:val="1"/>
          <w:bCs w:val="1"/>
          <w:color w:val="231F20"/>
        </w:rPr>
        <w:t>ADSs Record Date</w:t>
      </w:r>
      <w:r>
        <w:rPr>
          <w:rFonts w:ascii="Times New Roman" w:cs="Times New Roman" w:eastAsia="Times New Roman" w:hAnsi="Times New Roman"/>
          <w:sz w:val="18"/>
          <w:szCs w:val="18"/>
          <w:color w:val="231F20"/>
        </w:rPr>
        <w:t>”, and together with the Shares Record Date, the “</w:t>
      </w:r>
      <w:r>
        <w:rPr>
          <w:rFonts w:ascii="Times New Roman" w:cs="Times New Roman" w:eastAsia="Times New Roman" w:hAnsi="Times New Roman"/>
          <w:sz w:val="18"/>
          <w:szCs w:val="18"/>
          <w:b w:val="1"/>
          <w:bCs w:val="1"/>
          <w:color w:val="231F20"/>
        </w:rPr>
        <w:t>Record Dates</w:t>
      </w:r>
      <w:r>
        <w:rPr>
          <w:rFonts w:ascii="Times New Roman" w:cs="Times New Roman" w:eastAsia="Times New Roman" w:hAnsi="Times New Roman"/>
          <w:sz w:val="18"/>
          <w:szCs w:val="18"/>
          <w:color w:val="231F20"/>
        </w:rPr>
        <w:t>”), will be able to instruct the Depositary, as to how to vote the Shares represented by such ADSs held by such holders. The Depositary will endeavor, to the extent practicable and legally permissible, to vote or cause to be voted at the forthcoming AGM the Shares represented by the ADSs in accordance with the instructions that it has properly received either (1) directly from the ADS holders if the ADSs are held by holders on the books and records of the Depositary or (2) indirectly through a bank, brokerage or other securities intermediary if the ADSs are held by any of the foregoing intermediaries on behalf of the corresponding holders. Please be aware that, because of the time difference between Hong Kong and New York, any ADS holders that cancel their ADSs in exchange for the Shares of the Company on Tuesday, June 2, 2026, New York time will no longer be ADS holders with respect to such canceled ADSs as of the ADSs Record Date and as a result (1) will not be able to instruct the Depositary as to how to vote the Shares represented by such canceled ADSs as described above; and (2) will also not be holders of the Shares represented by such canceled ADSs as of the Shares Record Date for the purpose of determining the eligibility to attend and vote at the forthcoming AGM.</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Details including the date and location of the forthcoming AGM will be set out in the notice of the AGM to be issued and provided to holders of Shares and ADSs as of the respective Record Dates together with the proxy materials in due course.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For the purpose of this announcement, any reference to Cayman Islands time is 13 hours behind the corresponding Hong Kong time, and any reference to New York time is 12 hours behind the corresponding Hong Kong time.</w:t>
      </w:r>
    </w:p>
    <w:p>
      <w:pPr>
        <w:spacing w:after="0" w:line="216"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color w:val="231F20"/>
        </w:rPr>
        <w:t>By order of the Board</w:t>
      </w:r>
    </w:p>
    <w:p>
      <w:pPr>
        <w:spacing w:after="0" w:line="27"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231F20"/>
        </w:rPr>
        <w:t>Kingsoft Cloud Holdings Limited</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231F20"/>
        </w:rPr>
        <w:t>Mr. Zou Tao</w:t>
      </w:r>
    </w:p>
    <w:p>
      <w:pPr>
        <w:spacing w:after="0" w:line="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231F20"/>
        </w:rPr>
        <w:t>Chairman of the Board, Executive Director</w:t>
      </w:r>
    </w:p>
    <w:p>
      <w:pPr>
        <w:spacing w:after="0" w:line="9"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i w:val="1"/>
          <w:iCs w:val="1"/>
          <w:color w:val="231F20"/>
        </w:rPr>
        <w:t>and acting Chief Executive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Hong Kong, May 19, 2026</w:t>
      </w:r>
    </w:p>
    <w:p>
      <w:pPr>
        <w:spacing w:after="0" w:line="250" w:lineRule="exact"/>
        <w:rPr>
          <w:sz w:val="20"/>
          <w:szCs w:val="20"/>
          <w:color w:val="auto"/>
        </w:rPr>
      </w:pPr>
    </w:p>
    <w:p>
      <w:pPr>
        <w:ind w:left="20" w:right="20"/>
        <w:spacing w:after="0" w:line="284" w:lineRule="auto"/>
        <w:rPr>
          <w:sz w:val="20"/>
          <w:szCs w:val="20"/>
          <w:color w:val="auto"/>
        </w:rPr>
      </w:pPr>
      <w:r>
        <w:rPr>
          <w:rFonts w:ascii="Times New Roman" w:cs="Times New Roman" w:eastAsia="Times New Roman" w:hAnsi="Times New Roman"/>
          <w:sz w:val="18"/>
          <w:szCs w:val="18"/>
          <w:i w:val="1"/>
          <w:iCs w:val="1"/>
          <w:color w:val="231F20"/>
        </w:rPr>
        <w:t>As at the date of this announcement, the board of directors of the Company comprises Mr. Zou Tao as Chairman and executive director, Mr. Qu Heng and Mr. Zhang Duo as non-executive directors, and Mr. Yu Mingto, Mr. Wang Hang and Ms. Qu Jingyuan as independent non-executive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2026-05-19T15:04:04Z</dcterms:created>
  <dcterms:modified xsi:type="dcterms:W3CDTF">2026-05-19T15:04:04Z</dcterms:modified>
</cp:coreProperties>
</file>