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189865</wp:posOffset>
            </wp:positionH>
            <wp:positionV relativeFrom="page">
              <wp:posOffset>238760</wp:posOffset>
            </wp:positionV>
            <wp:extent cx="7169785" cy="12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9785" cy="12700"/>
                    </a:xfrm>
                    <a:prstGeom prst="rect">
                      <a:avLst/>
                    </a:prstGeom>
                    <a:noFill/>
                  </pic:spPr>
                </pic:pic>
              </a:graphicData>
            </a:graphic>
          </wp:anchor>
        </w:drawing>
        <w:drawing>
          <wp:anchor simplePos="0" relativeHeight="251657728" behindDoc="1" locked="0" layoutInCell="0" allowOverlap="1">
            <wp:simplePos x="0" y="0"/>
            <wp:positionH relativeFrom="page">
              <wp:posOffset>189865</wp:posOffset>
            </wp:positionH>
            <wp:positionV relativeFrom="page">
              <wp:posOffset>263525</wp:posOffset>
            </wp:positionV>
            <wp:extent cx="716978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9785" cy="6350"/>
                    </a:xfrm>
                    <a:prstGeom prst="rect">
                      <a:avLst/>
                    </a:prstGeom>
                    <a:noFill/>
                  </pic:spPr>
                </pic:pic>
              </a:graphicData>
            </a:graphic>
          </wp:anchor>
        </w:drawing>
        <w:t>UNITED STATES</w:t>
      </w:r>
    </w:p>
    <w:p>
      <w:pPr>
        <w:spacing w:after="0" w:line="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7"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2688590</wp:posOffset>
            </wp:positionH>
            <wp:positionV relativeFrom="paragraph">
              <wp:posOffset>104140</wp:posOffset>
            </wp:positionV>
            <wp:extent cx="179070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0700" cy="6350"/>
                    </a:xfrm>
                    <a:prstGeom prst="rect">
                      <a:avLst/>
                    </a:prstGeom>
                    <a:noFill/>
                  </pic:spPr>
                </pic:pic>
              </a:graphicData>
            </a:graphic>
          </wp:anchor>
        </w:drawing>
      </w:r>
    </w:p>
    <w:p>
      <w:pPr>
        <w:spacing w:after="0" w:line="300"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2688590</wp:posOffset>
            </wp:positionH>
            <wp:positionV relativeFrom="paragraph">
              <wp:posOffset>118745</wp:posOffset>
            </wp:positionV>
            <wp:extent cx="179070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0700" cy="6350"/>
                    </a:xfrm>
                    <a:prstGeom prst="rect">
                      <a:avLst/>
                    </a:prstGeom>
                    <a:noFill/>
                  </pic:spPr>
                </pic:pic>
              </a:graphicData>
            </a:graphic>
          </wp:anchor>
        </w:drawing>
      </w:r>
    </w:p>
    <w:p>
      <w:pPr>
        <w:spacing w:after="0" w:line="3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REPORT OF FOREIGN ISSUER</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PURSUANT TO RULE 13a-16 OR 15d-16 OF</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THE SECURITIES EXCHANGE ACT OF 1934</w:t>
      </w:r>
    </w:p>
    <w:p>
      <w:pPr>
        <w:spacing w:after="0" w:line="1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For the month of April 2026</w:t>
      </w:r>
    </w:p>
    <w:p>
      <w:pPr>
        <w:spacing w:after="0" w:line="165"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3"/>
          <w:szCs w:val="13"/>
          <w:b w:val="1"/>
          <w:bCs w:val="1"/>
          <w:color w:val="auto"/>
        </w:rPr>
        <w:t>Commission file number: 001-39278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2688590</wp:posOffset>
            </wp:positionH>
            <wp:positionV relativeFrom="paragraph">
              <wp:posOffset>114300</wp:posOffset>
            </wp:positionV>
            <wp:extent cx="179070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0700" cy="6350"/>
                    </a:xfrm>
                    <a:prstGeom prst="rect">
                      <a:avLst/>
                    </a:prstGeom>
                    <a:noFill/>
                  </pic:spPr>
                </pic:pic>
              </a:graphicData>
            </a:graphic>
          </wp:anchor>
        </w:drawing>
      </w:r>
    </w:p>
    <w:p>
      <w:pPr>
        <w:spacing w:after="0" w:line="3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Kingsoft Cloud Holdings Limited</w:t>
      </w:r>
    </w:p>
    <w:p>
      <w:pPr>
        <w:spacing w:after="0" w:line="24"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2688590</wp:posOffset>
            </wp:positionH>
            <wp:positionV relativeFrom="paragraph">
              <wp:posOffset>104140</wp:posOffset>
            </wp:positionV>
            <wp:extent cx="179070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0700" cy="6350"/>
                    </a:xfrm>
                    <a:prstGeom prst="rect">
                      <a:avLst/>
                    </a:prstGeom>
                    <a:noFill/>
                  </pic:spPr>
                </pic:pic>
              </a:graphicData>
            </a:graphic>
          </wp:anchor>
        </w:drawing>
      </w:r>
    </w:p>
    <w:p>
      <w:pPr>
        <w:spacing w:after="0" w:line="30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Building D, Xiaomi Science and Technology Park, No. 33 Xierqi Middle Road,</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Haidian District</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Beijing, 100085, the People’s Republic of China</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2688590</wp:posOffset>
            </wp:positionH>
            <wp:positionV relativeFrom="paragraph">
              <wp:posOffset>104140</wp:posOffset>
            </wp:positionV>
            <wp:extent cx="179070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0700" cy="6350"/>
                    </a:xfrm>
                    <a:prstGeom prst="rect">
                      <a:avLst/>
                    </a:prstGeom>
                    <a:noFill/>
                  </pic:spPr>
                </pic:pic>
              </a:graphicData>
            </a:graphic>
          </wp:anchor>
        </w:drawing>
      </w:r>
    </w:p>
    <w:p>
      <w:pPr>
        <w:spacing w:after="0" w:line="318"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whether the registrant files or will file annual reports under cover Form 20-F or Form 40-F.</w:t>
      </w:r>
    </w:p>
    <w:p>
      <w:pPr>
        <w:spacing w:after="0" w:line="136" w:lineRule="exact"/>
        <w:rPr>
          <w:sz w:val="24"/>
          <w:szCs w:val="24"/>
          <w:color w:val="auto"/>
        </w:rPr>
      </w:pPr>
    </w:p>
    <w:p>
      <w:pPr>
        <w:ind w:left="4780"/>
        <w:spacing w:after="0" w:line="150" w:lineRule="exact"/>
        <w:rPr>
          <w:sz w:val="20"/>
          <w:szCs w:val="20"/>
          <w:color w:val="auto"/>
        </w:rPr>
      </w:pPr>
      <w:r>
        <w:rPr>
          <w:rFonts w:ascii="Times New Roman" w:cs="Times New Roman" w:eastAsia="Times New Roman" w:hAnsi="Times New Roman"/>
          <w:sz w:val="13"/>
          <w:szCs w:val="13"/>
          <w:color w:val="auto"/>
        </w:rPr>
        <w:t xml:space="preserve">Form 20-F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Form 40-F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131445</wp:posOffset>
            </wp:positionV>
            <wp:extent cx="716978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978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149860</wp:posOffset>
            </wp:positionV>
            <wp:extent cx="7169785" cy="127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9785" cy="127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461645</wp:posOffset>
            </wp:positionV>
            <wp:extent cx="716978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0159"/>
          </w:cols>
          <w:pgMar w:left="300" w:top="561" w:right="1440" w:bottom="1440" w:gutter="0" w:footer="0" w:header="0"/>
        </w:sectPr>
      </w:pPr>
    </w:p>
    <w:bookmarkStart w:id="1" w:name="page2"/>
    <w:bookmarkEnd w:id="1"/>
    <w:p>
      <w:pPr>
        <w:jc w:val="center"/>
        <w:ind w:right="-299"/>
        <w:spacing w:after="0"/>
        <w:rPr>
          <w:sz w:val="20"/>
          <w:szCs w:val="20"/>
          <w:color w:val="auto"/>
        </w:rPr>
      </w:pPr>
      <w:r>
        <w:rPr>
          <w:rFonts w:ascii="Times New Roman" w:cs="Times New Roman" w:eastAsia="Times New Roman" w:hAnsi="Times New Roman"/>
          <w:sz w:val="13"/>
          <w:szCs w:val="13"/>
          <w:b w:val="1"/>
          <w:bCs w:val="1"/>
          <w:color w:val="auto"/>
        </w:rPr>
        <w:t>EXPLANATORY NOTE</w:t>
      </w:r>
    </w:p>
    <w:p>
      <w:pPr>
        <w:spacing w:after="0" w:line="16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3"/>
          <w:szCs w:val="13"/>
          <w:color w:val="auto"/>
        </w:rPr>
        <w:t>We submitted a monthly return form dated April 9, 2026 to The Stock Exchange of Hong Kong Limited in relation to the movements in our authorized share capital and issued shares in March 2026. For details, please refer to Exhibit 99.1 to this current report on Form 6-K.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281305</wp:posOffset>
            </wp:positionV>
            <wp:extent cx="716978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000"/>
          </w:cols>
          <w:pgMar w:left="300" w:top="695" w:right="5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3"/>
          <w:szCs w:val="13"/>
          <w:b w:val="1"/>
          <w:bCs w:val="1"/>
          <w:color w:val="auto"/>
        </w:rPr>
        <w:t>EXHIBIT INDEX</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10400" w:type="dxa"/>
            <w:vAlign w:val="bottom"/>
            <w:gridSpan w:val="3"/>
          </w:tcPr>
          <w:p>
            <w:pPr>
              <w:ind w:left="240"/>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284"/>
        </w:trPr>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color w:val="0000EE"/>
              </w:rPr>
              <w:t>99.</w:t>
            </w:r>
            <w:r>
              <w:rPr>
                <w:rFonts w:ascii="Times New Roman" w:cs="Times New Roman" w:eastAsia="Times New Roman" w:hAnsi="Times New Roman"/>
                <w:sz w:val="13"/>
                <w:szCs w:val="13"/>
                <w:u w:val="single" w:color="auto"/>
                <w:color w:val="0000EE"/>
              </w:rPr>
              <w:t>1</w:t>
            </w:r>
          </w:p>
        </w:tc>
        <w:tc>
          <w:tcPr>
            <w:tcW w:w="10400" w:type="dxa"/>
            <w:vAlign w:val="bottom"/>
            <w:gridSpan w:val="3"/>
          </w:tcPr>
          <w:p>
            <w:pPr>
              <w:ind w:left="240"/>
              <w:spacing w:after="0"/>
              <w:rPr>
                <w:sz w:val="20"/>
                <w:szCs w:val="20"/>
                <w:color w:val="auto"/>
              </w:rPr>
            </w:pPr>
            <w:r>
              <w:rPr>
                <w:rFonts w:ascii="Times New Roman" w:cs="Times New Roman" w:eastAsia="Times New Roman" w:hAnsi="Times New Roman"/>
                <w:sz w:val="13"/>
                <w:szCs w:val="13"/>
                <w:color w:val="0000EE"/>
              </w:rPr>
              <w:t>Monthly Return for Equity Issuer on Movements in Securities</w:t>
            </w:r>
          </w:p>
        </w:tc>
      </w:tr>
      <w:tr>
        <w:trPr>
          <w:trHeight w:val="501"/>
        </w:trPr>
        <w:tc>
          <w:tcPr>
            <w:tcW w:w="220" w:type="dxa"/>
            <w:vAlign w:val="bottom"/>
            <w:tcBorders>
              <w:top w:val="single" w:sz="8" w:color="0000EE"/>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60" w:type="dxa"/>
            <w:vAlign w:val="bottom"/>
            <w:tcBorders>
              <w:top w:val="single" w:sz="8" w:color="0000EE"/>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695"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3"/>
          <w:szCs w:val="13"/>
          <w:b w:val="1"/>
          <w:bCs w:val="1"/>
          <w:color w:val="auto"/>
        </w:rPr>
        <w:t>SIGNATURE</w:t>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thereunto duly authorized.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7940" w:type="dxa"/>
            <w:vAlign w:val="bottom"/>
            <w:gridSpan w:val="3"/>
          </w:tcPr>
          <w:p>
            <w:pPr>
              <w:ind w:left="2300"/>
              <w:spacing w:after="0"/>
              <w:rPr>
                <w:sz w:val="20"/>
                <w:szCs w:val="20"/>
                <w:color w:val="auto"/>
              </w:rPr>
            </w:pPr>
            <w:r>
              <w:rPr>
                <w:rFonts w:ascii="Times New Roman" w:cs="Times New Roman" w:eastAsia="Times New Roman" w:hAnsi="Times New Roman"/>
                <w:sz w:val="13"/>
                <w:szCs w:val="13"/>
                <w:color w:val="auto"/>
              </w:rPr>
              <w:t>Kingsoft Cloud Holdings Limited</w:t>
            </w:r>
          </w:p>
        </w:tc>
      </w:tr>
      <w:tr>
        <w:trPr>
          <w:trHeight w:val="314"/>
        </w:trPr>
        <w:tc>
          <w:tcPr>
            <w:tcW w:w="3340" w:type="dxa"/>
            <w:vAlign w:val="bottom"/>
          </w:tcPr>
          <w:p>
            <w:pPr>
              <w:spacing w:after="0"/>
              <w:rPr>
                <w:sz w:val="20"/>
                <w:szCs w:val="20"/>
                <w:color w:val="auto"/>
              </w:rPr>
            </w:pPr>
            <w:r>
              <w:rPr>
                <w:rFonts w:ascii="Times New Roman" w:cs="Times New Roman" w:eastAsia="Times New Roman" w:hAnsi="Times New Roman"/>
                <w:sz w:val="13"/>
                <w:szCs w:val="13"/>
                <w:color w:val="auto"/>
              </w:rPr>
              <w:t>Date: April 9, 2026</w:t>
            </w:r>
          </w:p>
        </w:tc>
        <w:tc>
          <w:tcPr>
            <w:tcW w:w="3140" w:type="dxa"/>
            <w:vAlign w:val="bottom"/>
            <w:gridSpan w:val="2"/>
          </w:tcPr>
          <w:p>
            <w:pPr>
              <w:ind w:left="2300"/>
              <w:spacing w:after="0"/>
              <w:rPr>
                <w:sz w:val="20"/>
                <w:szCs w:val="20"/>
                <w:color w:val="auto"/>
              </w:rPr>
            </w:pPr>
            <w:r>
              <w:rPr>
                <w:rFonts w:ascii="Times New Roman" w:cs="Times New Roman" w:eastAsia="Times New Roman" w:hAnsi="Times New Roman"/>
                <w:sz w:val="13"/>
                <w:szCs w:val="13"/>
                <w:color w:val="auto"/>
              </w:rPr>
              <w:t>By:   /s/ Yi Li</w:t>
            </w:r>
          </w:p>
        </w:tc>
        <w:tc>
          <w:tcPr>
            <w:tcW w:w="4800" w:type="dxa"/>
            <w:vAlign w:val="bottom"/>
          </w:tcPr>
          <w:p>
            <w:pPr>
              <w:spacing w:after="0"/>
              <w:rPr>
                <w:sz w:val="24"/>
                <w:szCs w:val="24"/>
                <w:color w:val="auto"/>
              </w:rPr>
            </w:pPr>
          </w:p>
        </w:tc>
      </w:tr>
      <w:tr>
        <w:trPr>
          <w:trHeight w:val="134"/>
        </w:trPr>
        <w:tc>
          <w:tcPr>
            <w:tcW w:w="334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480" w:type="dxa"/>
            <w:vAlign w:val="bottom"/>
            <w:tcBorders>
              <w:top w:val="single" w:sz="8" w:color="auto"/>
            </w:tcBorders>
          </w:tcPr>
          <w:p>
            <w:pPr>
              <w:spacing w:after="0" w:line="134" w:lineRule="exact"/>
              <w:rPr>
                <w:sz w:val="20"/>
                <w:szCs w:val="20"/>
                <w:color w:val="auto"/>
              </w:rPr>
            </w:pPr>
            <w:r>
              <w:rPr>
                <w:rFonts w:ascii="Times New Roman" w:cs="Times New Roman" w:eastAsia="Times New Roman" w:hAnsi="Times New Roman"/>
                <w:sz w:val="13"/>
                <w:szCs w:val="13"/>
                <w:color w:val="auto"/>
              </w:rPr>
              <w:t>Name:</w:t>
            </w:r>
          </w:p>
        </w:tc>
        <w:tc>
          <w:tcPr>
            <w:tcW w:w="4800" w:type="dxa"/>
            <w:vAlign w:val="bottom"/>
            <w:tcBorders>
              <w:top w:val="single" w:sz="8" w:color="auto"/>
            </w:tcBorders>
          </w:tcPr>
          <w:p>
            <w:pPr>
              <w:ind w:left="80"/>
              <w:spacing w:after="0" w:line="134" w:lineRule="exact"/>
              <w:rPr>
                <w:sz w:val="20"/>
                <w:szCs w:val="20"/>
                <w:color w:val="auto"/>
              </w:rPr>
            </w:pPr>
            <w:r>
              <w:rPr>
                <w:rFonts w:ascii="Times New Roman" w:cs="Times New Roman" w:eastAsia="Times New Roman" w:hAnsi="Times New Roman"/>
                <w:sz w:val="13"/>
                <w:szCs w:val="13"/>
                <w:color w:val="auto"/>
              </w:rPr>
              <w:t>Yi Li</w:t>
            </w:r>
          </w:p>
        </w:tc>
      </w:tr>
      <w:tr>
        <w:trPr>
          <w:trHeight w:val="171"/>
        </w:trPr>
        <w:tc>
          <w:tcPr>
            <w:tcW w:w="33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4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Chief Financial Officer</w:t>
            </w:r>
          </w:p>
        </w:tc>
      </w:tr>
      <w:tr>
        <w:trPr>
          <w:trHeight w:val="471"/>
        </w:trPr>
        <w:tc>
          <w:tcPr>
            <w:tcW w:w="33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14" w:right="319" w:bottom="1440" w:gutter="0" w:footer="0" w:header="0"/>
        </w:sectPr>
      </w:pPr>
    </w:p>
    <w:bookmarkStart w:id="4" w:name="page5"/>
    <w:bookmarkEnd w:id="4"/>
    <w:p>
      <w:pPr>
        <w:ind w:left="9480"/>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21590</wp:posOffset>
            </wp:positionV>
            <wp:extent cx="6863715" cy="55657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63715" cy="5565775"/>
                    </a:xfrm>
                    <a:prstGeom prst="rect">
                      <a:avLst/>
                    </a:prstGeom>
                    <a:noFill/>
                  </pic:spPr>
                </pic:pic>
              </a:graphicData>
            </a:graphic>
          </wp:anchor>
        </w:drawing>
      </w:r>
    </w:p>
    <w:p>
      <w:pPr>
        <w:sectPr>
          <w:pgSz w:w="11900" w:h="16838" w:orient="portrait"/>
          <w:cols w:equalWidth="0" w:num="1">
            <w:col w:w="10140"/>
          </w:cols>
          <w:pgMar w:left="1440" w:top="125" w:right="31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63715" cy="55657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63715" cy="5565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63715" cy="55657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63715" cy="5565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63715" cy="55657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63715" cy="5565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63715" cy="55657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63715" cy="5565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63715" cy="55657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63715" cy="5565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63715" cy="55657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63715" cy="5565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63715" cy="55657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63715" cy="5565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63715" cy="55657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63715" cy="5565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63715" cy="55657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63715" cy="55657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2026-04-09T07:15:28Z</dcterms:created>
  <dcterms:modified xsi:type="dcterms:W3CDTF">2026-04-09T07:15:28Z</dcterms:modified>
</cp:coreProperties>
</file>