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Kingsoft Cloud Holdings Limited</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Building E, Xiaomi Science and Technology Park, No. 33 Xierqi Middle Road,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Haidian District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Beijing, 100085, the People’s Republic of China</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Exhibit 5.1 to this report on Form 6-K is incorporated by reference into (i) the registration statement on Form F-3 (File No. 333-333-260181) of Kingsoft Cloud Holdings Limited (the “Company”) and (ii) the related prospectus supplement, dated October 12, 2021 relating to the resale of ordinary shares by the selling shareholders identified therein, which was filed with the U.S. Securities and Exchange Commission on October 12, 2021 pursuant to Rule 424(b)(7) under the Securities Act of 1933, as amended.</w:t>
      </w:r>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Kingsoft Cloud Holdings Limited</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13, 2021</w:t>
            </w: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/s/ Haijian He</w:t>
            </w:r>
          </w:p>
        </w:tc>
      </w:tr>
      <w:tr>
        <w:trPr>
          <w:trHeight w:val="195"/>
        </w:trPr>
        <w:tc>
          <w:tcPr>
            <w:tcW w:w="3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Haijian He</w:t>
            </w:r>
          </w:p>
        </w:tc>
      </w:tr>
      <w:tr>
        <w:trPr>
          <w:trHeight w:val="230"/>
        </w:trPr>
        <w:tc>
          <w:tcPr>
            <w:tcW w:w="3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9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7920" w:type="dxa"/>
            <w:vAlign w:val="bottom"/>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080" w:type="dxa"/>
            <w:vAlign w:val="bottom"/>
          </w:tcPr>
          <w:p>
            <w:pPr>
              <w:spacing w:after="0"/>
              <w:rPr>
                <w:sz w:val="20"/>
                <w:szCs w:val="20"/>
                <w:color w:val="auto"/>
              </w:rPr>
            </w:pPr>
            <w:r>
              <w:rPr>
                <w:rFonts w:ascii="Arial" w:cs="Arial" w:eastAsia="Arial" w:hAnsi="Arial"/>
                <w:sz w:val="18"/>
                <w:szCs w:val="18"/>
                <w:color w:val="auto"/>
              </w:rPr>
              <w:t>5.1</w:t>
            </w:r>
          </w:p>
        </w:tc>
        <w:tc>
          <w:tcPr>
            <w:tcW w:w="7920" w:type="dxa"/>
            <w:vAlign w:val="bottom"/>
          </w:tcPr>
          <w:p>
            <w:pPr>
              <w:ind w:left="380"/>
              <w:spacing w:after="0"/>
              <w:rPr>
                <w:sz w:val="20"/>
                <w:szCs w:val="20"/>
                <w:color w:val="auto"/>
              </w:rPr>
            </w:pPr>
            <w:r>
              <w:rPr>
                <w:rFonts w:ascii="Arial" w:cs="Arial" w:eastAsia="Arial" w:hAnsi="Arial"/>
                <w:sz w:val="18"/>
                <w:szCs w:val="18"/>
                <w:color w:val="auto"/>
                <w:w w:val="91"/>
              </w:rPr>
              <w:t>Opinion of Maples and Calder (Hong Kong) LLP regarding the validity of the securities being registered</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7920" w:type="dxa"/>
            <w:vAlign w:val="bottom"/>
          </w:tcPr>
          <w:p>
            <w:pPr>
              <w:ind w:left="380"/>
              <w:spacing w:after="0"/>
              <w:rPr>
                <w:sz w:val="20"/>
                <w:szCs w:val="20"/>
                <w:color w:val="auto"/>
              </w:rPr>
            </w:pPr>
            <w:r>
              <w:rPr>
                <w:rFonts w:ascii="Arial" w:cs="Arial" w:eastAsia="Arial" w:hAnsi="Arial"/>
                <w:sz w:val="18"/>
                <w:szCs w:val="18"/>
                <w:color w:val="auto"/>
              </w:rPr>
              <w:t>Consent of Maples and Calder (Hong Kong) LLP (included in Exhibit 5.1)</w:t>
            </w:r>
          </w:p>
        </w:tc>
      </w:tr>
    </w:tbl>
    <w:p>
      <w:pPr>
        <w:sectPr>
          <w:pgSz w:w="11900" w:h="16838" w:orient="portrait"/>
          <w:cols w:equalWidth="0" w:num="1">
            <w:col w:w="10019"/>
          </w:cols>
          <w:pgMar w:left="4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002665" cy="942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26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Kingsoft Cloud Holdings Limited</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Building E, Xiaomi Science and Technology Park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33 Xierqi Middle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Haidian District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Beijing, 100085, the People’s Republic of China</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12 October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Kingsoft Cloud Holdings Limited</w:t>
      </w:r>
    </w:p>
    <w:p>
      <w:pPr>
        <w:spacing w:after="0" w:line="117" w:lineRule="exact"/>
        <w:rPr>
          <w:sz w:val="20"/>
          <w:szCs w:val="20"/>
          <w:color w:val="auto"/>
        </w:rPr>
      </w:pPr>
    </w:p>
    <w:p>
      <w:pPr>
        <w:ind w:left="4" w:right="120"/>
        <w:spacing w:after="0" w:line="274" w:lineRule="auto"/>
        <w:rPr>
          <w:sz w:val="20"/>
          <w:szCs w:val="20"/>
          <w:color w:val="auto"/>
        </w:rPr>
      </w:pPr>
      <w:r>
        <w:rPr>
          <w:rFonts w:ascii="Arial" w:cs="Arial" w:eastAsia="Arial" w:hAnsi="Arial"/>
          <w:sz w:val="17"/>
          <w:szCs w:val="17"/>
          <w:color w:val="auto"/>
        </w:rPr>
        <w:t>We have acted as Cayman Islands legal advisers to Kingsoft Cloud Holdings Limited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registration statement on Form F-3, including all amendments or supplements thereto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Securities and Exchange Commission under the U.S. Securities Act of 1933, as amended to date, and the related prospectus supplement filed pursuant to Rule 424(b) of the U.S. Securities Act of 1933, as amended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relating to the offering by the Company of certain of the Company’s ordinary shares of par value US$0.001 each (the “</w:t>
      </w:r>
      <w:r>
        <w:rPr>
          <w:rFonts w:ascii="Arial" w:cs="Arial" w:eastAsia="Arial" w:hAnsi="Arial"/>
          <w:sz w:val="17"/>
          <w:szCs w:val="17"/>
          <w:b w:val="1"/>
          <w:bCs w:val="1"/>
          <w:color w:val="auto"/>
        </w:rPr>
        <w:t>Shares</w:t>
      </w:r>
      <w:r>
        <w:rPr>
          <w:rFonts w:ascii="Arial" w:cs="Arial" w:eastAsia="Arial" w:hAnsi="Arial"/>
          <w:sz w:val="17"/>
          <w:szCs w:val="17"/>
          <w:color w:val="auto"/>
        </w:rPr>
        <w:t>”), including Shares represented by American depositary shares (the “</w:t>
      </w:r>
      <w:r>
        <w:rPr>
          <w:rFonts w:ascii="Arial" w:cs="Arial" w:eastAsia="Arial" w:hAnsi="Arial"/>
          <w:sz w:val="17"/>
          <w:szCs w:val="17"/>
          <w:b w:val="1"/>
          <w:bCs w:val="1"/>
          <w:color w:val="auto"/>
        </w:rPr>
        <w:t>ADSs</w:t>
      </w:r>
      <w:r>
        <w:rPr>
          <w:rFonts w:ascii="Arial" w:cs="Arial" w:eastAsia="Arial" w:hAnsi="Arial"/>
          <w:sz w:val="17"/>
          <w:szCs w:val="17"/>
          <w:color w:val="auto"/>
        </w:rPr>
        <w:t>”), and relating to the 177,679,900 Shares registered and to be offered by the selling shareholders (the “</w:t>
      </w:r>
      <w:r>
        <w:rPr>
          <w:rFonts w:ascii="Arial" w:cs="Arial" w:eastAsia="Arial" w:hAnsi="Arial"/>
          <w:sz w:val="17"/>
          <w:szCs w:val="17"/>
          <w:b w:val="1"/>
          <w:bCs w:val="1"/>
          <w:color w:val="auto"/>
        </w:rPr>
        <w:t>Resale Shares</w:t>
      </w:r>
      <w:r>
        <w:rPr>
          <w:rFonts w:ascii="Arial" w:cs="Arial" w:eastAsia="Arial" w:hAnsi="Arial"/>
          <w:sz w:val="17"/>
          <w:szCs w:val="17"/>
          <w:color w:val="auto"/>
        </w:rPr>
        <w:t>”).</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are furnishing this opinion as Exhibits 5.1, 8.1 and 23.2 to the Prospectus Supplement.</w:t>
      </w:r>
    </w:p>
    <w:p>
      <w:pPr>
        <w:spacing w:after="0" w:line="370"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certificate of incorporation of the Company dated 3 January 2012 issued by the Registrar of Companies in the Cayman Islands.</w:t>
      </w:r>
    </w:p>
    <w:p>
      <w:pPr>
        <w:spacing w:after="0" w:line="131" w:lineRule="exact"/>
        <w:rPr>
          <w:sz w:val="20"/>
          <w:szCs w:val="20"/>
          <w:color w:val="auto"/>
        </w:rPr>
      </w:pPr>
    </w:p>
    <w:p>
      <w:pPr>
        <w:jc w:val="both"/>
        <w:ind w:left="424" w:right="80" w:hanging="431"/>
        <w:spacing w:after="0" w:line="263" w:lineRule="auto"/>
        <w:tabs>
          <w:tab w:leader="none" w:pos="404" w:val="left"/>
        </w:tabs>
        <w:rPr>
          <w:sz w:val="20"/>
          <w:szCs w:val="20"/>
          <w:color w:val="auto"/>
        </w:rPr>
      </w:pPr>
      <w:r>
        <w:rPr>
          <w:rFonts w:ascii="Arial" w:cs="Arial" w:eastAsia="Arial" w:hAnsi="Arial"/>
          <w:sz w:val="18"/>
          <w:szCs w:val="18"/>
          <w:color w:val="auto"/>
        </w:rPr>
        <w:t>1.2</w:t>
        <w:tab/>
        <w:t>The amended and restated memorandum and articles of association of the Company as adopted by a special resolution passed on 7 April 2020 and to become effective immediately prior to the completion of the initial public offering of the Company’s ADSs with effect from 12 May 2020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unanimous written resolutions of the board of directors of the Company passed on 30 September 2021 (the “</w:t>
      </w:r>
      <w:r>
        <w:rPr>
          <w:rFonts w:ascii="Arial" w:cs="Arial" w:eastAsia="Arial" w:hAnsi="Arial"/>
          <w:sz w:val="16"/>
          <w:szCs w:val="16"/>
          <w:b w:val="1"/>
          <w:bCs w:val="1"/>
          <w:color w:val="auto"/>
        </w:rPr>
        <w:t>Resolutions</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 certificate from a director of the Company, a copy of which is attached hereto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w:t>
      </w:r>
    </w:p>
    <w:p>
      <w:pPr>
        <w:spacing w:after="0" w:line="131" w:lineRule="exact"/>
        <w:rPr>
          <w:sz w:val="20"/>
          <w:szCs w:val="20"/>
          <w:color w:val="auto"/>
        </w:rPr>
      </w:pPr>
    </w:p>
    <w:p>
      <w:pPr>
        <w:ind w:left="424" w:right="240" w:hanging="431"/>
        <w:spacing w:after="0" w:line="282" w:lineRule="auto"/>
        <w:tabs>
          <w:tab w:leader="none" w:pos="404" w:val="left"/>
        </w:tabs>
        <w:rPr>
          <w:sz w:val="20"/>
          <w:szCs w:val="20"/>
          <w:color w:val="auto"/>
        </w:rPr>
      </w:pPr>
      <w:r>
        <w:rPr>
          <w:rFonts w:ascii="Arial" w:cs="Arial" w:eastAsia="Arial" w:hAnsi="Arial"/>
          <w:sz w:val="18"/>
          <w:szCs w:val="18"/>
          <w:color w:val="auto"/>
        </w:rPr>
        <w:t>1.5</w:t>
        <w:tab/>
        <w:t>A certificate of good standing with respect to the Company issued by the Registrar of Companies dated 27 September 2021 (the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Good Standing</w:t>
      </w:r>
      <w:r>
        <w:rPr>
          <w:rFonts w:ascii="Arial" w:cs="Arial" w:eastAsia="Arial" w:hAnsi="Arial"/>
          <w:sz w:val="18"/>
          <w:szCs w:val="18"/>
          <w:color w:val="auto"/>
        </w:rPr>
        <w:t>”).</w:t>
      </w:r>
    </w:p>
    <w:p>
      <w:pPr>
        <w:spacing w:after="0" w:line="7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Registration Statement and the Prospectus Supplement.</w:t>
      </w:r>
    </w:p>
    <w:p>
      <w:pPr>
        <w:sectPr>
          <w:pgSz w:w="11900" w:h="16838" w:orient="portrait"/>
          <w:cols w:equalWidth="0" w:num="1">
            <w:col w:w="11024"/>
          </w:cols>
          <w:pgMar w:left="436" w:top="121" w:right="439" w:bottom="1440" w:gutter="0" w:footer="0" w:header="0"/>
        </w:sectPr>
      </w:pPr>
    </w:p>
    <w:bookmarkStart w:id="5" w:name="page6"/>
    <w:bookmarkEnd w:id="5"/>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Assumptions</w:t>
      </w:r>
    </w:p>
    <w:p>
      <w:pPr>
        <w:spacing w:after="0" w:line="121"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77" w:lineRule="exact"/>
        <w:rPr>
          <w:sz w:val="20"/>
          <w:szCs w:val="20"/>
          <w:color w:val="auto"/>
        </w:rPr>
      </w:pPr>
    </w:p>
    <w:p>
      <w:pPr>
        <w:ind w:left="424" w:right="580" w:hanging="431"/>
        <w:spacing w:after="0" w:line="277" w:lineRule="auto"/>
        <w:tabs>
          <w:tab w:leader="none" w:pos="404" w:val="left"/>
        </w:tabs>
        <w:rPr>
          <w:sz w:val="20"/>
          <w:szCs w:val="20"/>
          <w:color w:val="auto"/>
        </w:rPr>
      </w:pPr>
      <w:r>
        <w:rPr>
          <w:rFonts w:ascii="Arial" w:cs="Arial" w:eastAsia="Arial" w:hAnsi="Arial"/>
          <w:sz w:val="18"/>
          <w:szCs w:val="18"/>
          <w:color w:val="auto"/>
        </w:rPr>
        <w:t>2.1</w:t>
        <w:tab/>
        <w:t>Copies of documents, conformed copies or drafts of documents provided to us are true and complete copies of, or in the final forms of, the originals.</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All signatures, initials and seals are genuine.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There is nothing under any law (other than the law of the Cayman Islands), which would or might affect the opinions set out below.</w:t>
      </w:r>
    </w:p>
    <w:p>
      <w:pPr>
        <w:spacing w:after="0" w:line="370"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76" w:lineRule="exact"/>
        <w:rPr>
          <w:sz w:val="20"/>
          <w:szCs w:val="20"/>
          <w:color w:val="auto"/>
        </w:rPr>
      </w:pPr>
    </w:p>
    <w:p>
      <w:pPr>
        <w:ind w:left="424" w:right="340" w:hanging="431"/>
        <w:spacing w:after="0" w:line="277" w:lineRule="auto"/>
        <w:tabs>
          <w:tab w:leader="none" w:pos="404" w:val="left"/>
        </w:tabs>
        <w:rPr>
          <w:sz w:val="20"/>
          <w:szCs w:val="20"/>
          <w:color w:val="auto"/>
        </w:rPr>
      </w:pPr>
      <w:r>
        <w:rPr>
          <w:rFonts w:ascii="Arial" w:cs="Arial" w:eastAsia="Arial" w:hAnsi="Arial"/>
          <w:sz w:val="18"/>
          <w:szCs w:val="18"/>
          <w:color w:val="auto"/>
        </w:rPr>
        <w:t>3.1</w:t>
        <w:tab/>
        <w:t>The Company has been duly incorporated as an exempted company with limited liability and is validly existing and in good standing with the Registrar of Companies under the laws of the Cayman Islands.</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authorised share capital of the Company is US$4,000,000 divided into 4,000,000,000 shares of US$0.001 each.</w:t>
      </w:r>
    </w:p>
    <w:p>
      <w:pPr>
        <w:spacing w:after="0" w:line="131" w:lineRule="exact"/>
        <w:rPr>
          <w:sz w:val="20"/>
          <w:szCs w:val="20"/>
          <w:color w:val="auto"/>
        </w:rPr>
      </w:pPr>
    </w:p>
    <w:p>
      <w:pPr>
        <w:ind w:left="424" w:right="1060" w:hanging="431"/>
        <w:spacing w:after="0" w:line="277" w:lineRule="auto"/>
        <w:tabs>
          <w:tab w:leader="none" w:pos="404" w:val="left"/>
        </w:tabs>
        <w:rPr>
          <w:sz w:val="20"/>
          <w:szCs w:val="20"/>
          <w:color w:val="auto"/>
        </w:rPr>
      </w:pPr>
      <w:r>
        <w:rPr>
          <w:rFonts w:ascii="Arial" w:cs="Arial" w:eastAsia="Arial" w:hAnsi="Arial"/>
          <w:sz w:val="18"/>
          <w:szCs w:val="18"/>
          <w:color w:val="auto"/>
        </w:rPr>
        <w:t>3.3</w:t>
        <w:tab/>
        <w:t>The issue and allotment of the Resale Shares have been legally issued and allotted to the selling shareholders, and are fully paid and non-assessable.</w:t>
      </w:r>
    </w:p>
    <w:p>
      <w:pPr>
        <w:spacing w:after="0" w:line="76" w:lineRule="exact"/>
        <w:rPr>
          <w:sz w:val="20"/>
          <w:szCs w:val="20"/>
          <w:color w:val="auto"/>
        </w:rPr>
      </w:pPr>
    </w:p>
    <w:p>
      <w:pPr>
        <w:ind w:left="424" w:right="420" w:hanging="431"/>
        <w:spacing w:after="0" w:line="342" w:lineRule="auto"/>
        <w:tabs>
          <w:tab w:leader="none" w:pos="4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statements under the caption “Taxation” in the prospectus forming part of the Registration Statement and the Prospectus Supplement are accurate in so far as such statements are summaries of or relate to Cayman Islands law, and such statements constitute our opinion.</w:t>
      </w:r>
    </w:p>
    <w:p>
      <w:pPr>
        <w:spacing w:after="0" w:line="268"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8"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hereby consent to the filing of this opinion as an exhibit to the Prospectus Supplement and to the reference to our name under the headings “Enforceability of Civil Liabilities” and “Legal Matters” and elsewhere in the prospectus included in the Prospectus Supplement.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Certificate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12 October</w:t>
      </w:r>
      <w:r>
        <w:rPr>
          <w:rFonts w:ascii="Arial" w:cs="Arial" w:eastAsia="Arial" w:hAnsi="Arial"/>
          <w:sz w:val="18"/>
          <w:szCs w:val="18"/>
          <w:color w:val="auto"/>
        </w:rPr>
        <w:t xml:space="preserve"> 2021</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Maples and Calder (Hong Kong) LLP</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26th Floor, Central Plaza</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 Harbour Road</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Wanchai, Hong Kong</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Kingsoft Cloud Holdings Limited (the “Company”)</w:t>
      </w:r>
    </w:p>
    <w:p>
      <w:pPr>
        <w:spacing w:after="0" w:line="225" w:lineRule="exact"/>
        <w:rPr>
          <w:sz w:val="20"/>
          <w:szCs w:val="20"/>
          <w:color w:val="auto"/>
        </w:rPr>
      </w:pPr>
    </w:p>
    <w:p>
      <w:pPr>
        <w:ind w:left="4" w:right="120"/>
        <w:spacing w:after="0" w:line="347" w:lineRule="auto"/>
        <w:rPr>
          <w:sz w:val="20"/>
          <w:szCs w:val="20"/>
          <w:color w:val="auto"/>
        </w:rPr>
      </w:pPr>
      <w:r>
        <w:rPr>
          <w:rFonts w:ascii="Arial" w:cs="Arial" w:eastAsia="Arial" w:hAnsi="Arial"/>
          <w:sz w:val="16"/>
          <w:szCs w:val="16"/>
          <w:color w:val="auto"/>
        </w:rPr>
        <w:t>I, the undersigned, being a director of the Company, am aware that you are being asked to provide a legal opinion (the “</w:t>
      </w:r>
      <w:r>
        <w:rPr>
          <w:rFonts w:ascii="Arial" w:cs="Arial" w:eastAsia="Arial" w:hAnsi="Arial"/>
          <w:sz w:val="16"/>
          <w:szCs w:val="16"/>
          <w:b w:val="1"/>
          <w:bCs w:val="1"/>
          <w:color w:val="auto"/>
        </w:rPr>
        <w:t>Opinion</w:t>
      </w:r>
      <w:r>
        <w:rPr>
          <w:rFonts w:ascii="Arial" w:cs="Arial" w:eastAsia="Arial" w:hAnsi="Arial"/>
          <w:sz w:val="16"/>
          <w:szCs w:val="16"/>
          <w:color w:val="auto"/>
        </w:rPr>
        <w:t>”) in relation to certain aspects of Cayman Islands law. Capitalised terms used in this certificate have the meaning given to them in the Opinion. I hereby certify that:</w:t>
      </w:r>
    </w:p>
    <w:p>
      <w:pPr>
        <w:spacing w:after="0" w:line="25"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Memorandum and Articles remain in full and effect and are unamended.</w:t>
      </w:r>
    </w:p>
    <w:p>
      <w:pPr>
        <w:spacing w:after="0" w:line="131" w:lineRule="exact"/>
        <w:rPr>
          <w:sz w:val="20"/>
          <w:szCs w:val="20"/>
          <w:color w:val="auto"/>
        </w:rPr>
      </w:pPr>
    </w:p>
    <w:p>
      <w:pPr>
        <w:ind w:left="424" w:right="280" w:hanging="424"/>
        <w:spacing w:after="0" w:line="308"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52"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authorised share capital of the Company is US$4,000,000 divided into 4,000,000,000 shares of US$0,001 each.</w:t>
      </w:r>
    </w:p>
    <w:p>
      <w:pPr>
        <w:spacing w:after="0" w:line="131" w:lineRule="exact"/>
        <w:rPr>
          <w:sz w:val="20"/>
          <w:szCs w:val="20"/>
          <w:color w:val="auto"/>
        </w:rPr>
      </w:pPr>
    </w:p>
    <w:p>
      <w:pPr>
        <w:ind w:left="424" w:right="5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shareholders of the Company have not restricted or limited the powers of the directors in any way and there is no contractual or other prohibition (other than as arising under Cayman Islands law) binding on the Company prohibiting it from issuing and allotting the Shares or otherwise performing its obligations under the Registration Statement.</w:t>
      </w:r>
    </w:p>
    <w:p>
      <w:pPr>
        <w:spacing w:after="0" w:line="89" w:lineRule="exact"/>
        <w:rPr>
          <w:sz w:val="20"/>
          <w:szCs w:val="20"/>
          <w:color w:val="auto"/>
        </w:rPr>
      </w:pPr>
    </w:p>
    <w:p>
      <w:pPr>
        <w:ind w:left="5244" w:right="1960" w:hanging="5244"/>
        <w:spacing w:after="0" w:line="500"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directors of the Company at the date of the Resolutions and as at the date of this certificate were and are as follows: Jun Lei</w:t>
      </w:r>
    </w:p>
    <w:p>
      <w:pPr>
        <w:spacing w:after="0" w:line="1" w:lineRule="exact"/>
        <w:rPr>
          <w:rFonts w:ascii="Arial" w:cs="Arial" w:eastAsia="Arial" w:hAnsi="Arial"/>
          <w:sz w:val="18"/>
          <w:szCs w:val="18"/>
          <w:color w:val="auto"/>
        </w:rPr>
      </w:pPr>
    </w:p>
    <w:p>
      <w:pPr>
        <w:ind w:left="5204"/>
        <w:spacing w:after="0"/>
        <w:rPr>
          <w:rFonts w:ascii="Arial" w:cs="Arial" w:eastAsia="Arial" w:hAnsi="Arial"/>
          <w:sz w:val="18"/>
          <w:szCs w:val="18"/>
          <w:color w:val="auto"/>
        </w:rPr>
      </w:pPr>
      <w:r>
        <w:rPr>
          <w:rFonts w:ascii="Arial" w:cs="Arial" w:eastAsia="Arial" w:hAnsi="Arial"/>
          <w:sz w:val="18"/>
          <w:szCs w:val="18"/>
          <w:color w:val="auto"/>
        </w:rPr>
        <w:t>Tao Zou</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Yulin Wang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Hangjun Ye</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Kuiguang Niu</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Hang Wang</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Mingto Yu</w:t>
      </w:r>
    </w:p>
    <w:p>
      <w:pPr>
        <w:spacing w:after="0" w:line="238" w:lineRule="exact"/>
        <w:rPr>
          <w:sz w:val="20"/>
          <w:szCs w:val="20"/>
          <w:color w:val="auto"/>
        </w:rPr>
      </w:pPr>
    </w:p>
    <w:p>
      <w:pPr>
        <w:ind w:left="424" w:right="8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director considers the transactions contemplated by the Registration Statement to be of commercial benefit to the Company and has acted bona fide in the best interests of the Company, and for a proper purpose of the Company in relation to the transactions which are the subject of the Opinion.</w:t>
      </w:r>
    </w:p>
    <w:p>
      <w:pPr>
        <w:sectPr>
          <w:pgSz w:w="11900" w:h="16838" w:orient="portrait"/>
          <w:cols w:equalWidth="0" w:num="1">
            <w:col w:w="11024"/>
          </w:cols>
          <w:pgMar w:left="436" w:top="270" w:right="439" w:bottom="1440" w:gutter="0" w:footer="0" w:header="0"/>
        </w:sectPr>
      </w:pPr>
    </w:p>
    <w:bookmarkStart w:id="8" w:name="page9"/>
    <w:bookmarkEnd w:id="8"/>
    <w:p>
      <w:pPr>
        <w:ind w:left="424" w:right="80" w:hanging="424"/>
        <w:spacing w:after="0" w:line="275"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best of my knowledge and belief, having made due inquiry, the Company is not the subject of legal, arbitral, administrative or other proceedings in any jurisdiction that would have a material adverse effect on the business, properties, financial condition, results of operations or prospects of the Company, except as disclosed in the Registration Statement and Prospectus Supplement. Nor have the directors or shareholders taken any steps to have the Company struck off or placed in liquidation, nor have any steps been taken to wind up the Company. Nor has any receiver been appointed over any of the Company’s property or assets.</w:t>
      </w:r>
    </w:p>
    <w:p>
      <w:pPr>
        <w:spacing w:after="0" w:line="82"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not subject to the requirements of Part XVIIA of the Companies Act (As Revised).</w:t>
      </w:r>
    </w:p>
    <w:p>
      <w:pPr>
        <w:spacing w:after="0" w:line="11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 confirm that you may continue to rely on this Certificate as being true and correct on the day that you issue the Opinion unless I shall have previously notified you personally to the contrary.</w:t>
      </w:r>
    </w:p>
    <w:p>
      <w:pPr>
        <w:spacing w:after="0" w:line="170"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884"/>
          </w:cols>
          <w:pgMar w:left="436" w:top="274" w:right="5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Yulin Wang</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spacing w:after="0"/>
              <w:rPr>
                <w:sz w:val="20"/>
                <w:szCs w:val="20"/>
                <w:color w:val="auto"/>
              </w:rPr>
            </w:pPr>
            <w:r>
              <w:rPr>
                <w:rFonts w:ascii="Arial" w:cs="Arial" w:eastAsia="Arial" w:hAnsi="Arial"/>
                <w:sz w:val="18"/>
                <w:szCs w:val="18"/>
                <w:color w:val="auto"/>
              </w:rPr>
              <w:t>Yulin Wang</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5"/>
      <w:numFmt w:val="bullet"/>
      <w:start w:val="1"/>
    </w:lvl>
  </w:abstractNum>
  <w:abstractNum w:abstractNumId="9">
    <w:nsid w:val="1F16E9E8"/>
    <w:multiLevelType w:val="hybridMultilevel"/>
    <w:lvl w:ilvl="0">
      <w:lvlJc w:val="left"/>
      <w:lvlText w:val="6"/>
      <w:numFmt w:val="bullet"/>
      <w:start w:val="1"/>
    </w:lvl>
  </w:abstractNum>
  <w:abstractNum w:abstractNumId="10">
    <w:nsid w:val="1190CDE7"/>
    <w:multiLevelType w:val="hybridMultilevel"/>
    <w:lvl w:ilvl="0">
      <w:lvlJc w:val="left"/>
      <w:lvlText w:val="7"/>
      <w:numFmt w:val="bullet"/>
      <w:start w:val="1"/>
    </w:lvl>
  </w:abstractNum>
  <w:abstractNum w:abstractNumId="11">
    <w:nsid w:val="66EF438D"/>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2021-10-13T10:16:20Z</dcterms:created>
  <dcterms:modified xsi:type="dcterms:W3CDTF">2021-10-13T10:16:20Z</dcterms:modified>
</cp:coreProperties>
</file>