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February 7, 2023</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Kingsoft Cloud Holdings Limited</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20-F for Fiscal Year Ended December 31, 2021</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File No. 001-39278</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Attn: Division of Corporation Finance Office of Technology</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Inessa Kessman, Robert Littlepage, Alexandra Barone and Mitchell Austin:</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letter sets forth the responses of Kingsoft Cloud Holdings Limited (“Kingsoft Cloud” or the “Company”) to the comment (the “Comment”) the Company received from the Securities and Exchange Commission (the “Commission”) in a letter dated January 26, 2023.</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your convenience, we have included herein the comment in bold, and the Company’s responses are set forth immediately below the Comment.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Report on Form 20-F for Fiscal Year Ended December 31, 2021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Key Information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3.D. Risk Factors, page 1</w:t>
      </w:r>
    </w:p>
    <w:p>
      <w:pPr>
        <w:spacing w:after="0" w:line="203" w:lineRule="exact"/>
        <w:rPr>
          <w:sz w:val="24"/>
          <w:szCs w:val="24"/>
          <w:color w:val="auto"/>
        </w:rPr>
      </w:pPr>
    </w:p>
    <w:p>
      <w:pPr>
        <w:ind w:firstLine="8"/>
        <w:spacing w:after="0" w:line="268"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1. Please expand your disclosure here to state that recent statements by China’s government, such as those related to the use of variable interest entities (VIEs) and data security or anti-monopoly concerns, have or may impact the company’s ability to conduct its business, accept foreign investments, or list on a U.S. or other foreign exchange.</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respectfully proposes to further revise the disclosure on page 1 of the 2021 Annual Report in its future Form 20-F filings (with deletions shown as strike-through and additions underlined) as follows, subject to updates and adjustments to be made in connection with any material development of the subject matter being disclosed:</w:t>
      </w:r>
    </w:p>
    <w:p>
      <w:pPr>
        <w:spacing w:after="0" w:line="174" w:lineRule="exact"/>
        <w:rPr>
          <w:sz w:val="24"/>
          <w:szCs w:val="24"/>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face various legal and operational risks and uncertainties as a company based in and primarily operating in China. Such legal and operational risks associated with being based in China could result in a material change in the operations of us and the VIEs, and/or the value of our securities, or could significantly limit or completely hinder our ability to offer or continue to offer securities to investors and cause the value of such securities to significantly decline or be worthless. </w:t>
      </w:r>
      <w:r>
        <w:rPr>
          <w:rFonts w:ascii="Times New Roman" w:cs="Times New Roman" w:eastAsia="Times New Roman" w:hAnsi="Times New Roman"/>
          <w:sz w:val="18"/>
          <w:szCs w:val="18"/>
          <w:i w:val="1"/>
          <w:iCs w:val="1"/>
          <w:u w:val="single" w:color="auto"/>
          <w:color w:val="auto"/>
        </w:rPr>
        <w:t>For example, recent statements by China’s government, such as those related to the use of VIEs and cybersecurity, data privacy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anti-monopoly concerns, have or may impact the ability of us and/or the VIEs to conduct business, accept foreign investments, or list on a U.S. or other foreign exchange. Therefore,</w:t>
      </w:r>
      <w:r>
        <w:rPr>
          <w:rFonts w:ascii="Times New Roman" w:cs="Times New Roman" w:eastAsia="Times New Roman" w:hAnsi="Times New Roman"/>
          <w:sz w:val="18"/>
          <w:szCs w:val="18"/>
          <w:i w:val="1"/>
          <w:iCs w:val="1"/>
          <w:color w:val="auto"/>
        </w:rPr>
        <w:t xml:space="preserve"> we face risks associated with regulatory approvals of offshore offerings, anti-monopoly regulatory actions, cybersecurity and data privacy, as well as the lack of inspection from the Public Company Accounting Oversight Board (United States), or the PCAOB, on our auditors. The PRC government may also intervene with or influence our operations, as the government deems appropriate to further regulatory, political and societal goals.</w:t>
      </w: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1" w:name="page2"/>
    <w:bookmarkEnd w:id="1"/>
    <w:p>
      <w:pPr>
        <w:ind w:firstLine="8"/>
        <w:spacing w:after="0" w:line="259"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4. Please clearly state in a summary of risk factors bullet point the risks related to obtaining any permissions or approvals required to be obtained from Chinese authorities to (i) operate your business and (ii) offer the securities being registered to foreign investors. Include a specific cross-reference to a more detailed risk factor discussion. Additionally, with a view toward revised disclosure, please clarify in your prospectus summary that you relied on the opinion of counsel to conclude that you have obtained all necessary permissions and approvals to operate your business and to offer the securities being registered to foreign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the Company intends to revise the following disclosure in its future Form 20-F filings in the summary of risk factors bullet points (with deletions shown as strikethrough and additions underlined), subject to updates and adjustments to be made in connection with any material development of the subject matter being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Permissions Required from the PRC Authorities for Our Operations </w:t>
      </w:r>
      <w:r>
        <w:rPr>
          <w:rFonts w:ascii="Times New Roman" w:cs="Times New Roman" w:eastAsia="Times New Roman" w:hAnsi="Times New Roman"/>
          <w:sz w:val="18"/>
          <w:szCs w:val="18"/>
          <w:b w:val="1"/>
          <w:bCs w:val="1"/>
          <w:i w:val="1"/>
          <w:iCs w:val="1"/>
          <w:u w:val="single" w:color="auto"/>
          <w:color w:val="auto"/>
        </w:rPr>
        <w:t>and Securities Issuances to Foreign Investors</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u w:val="single" w:color="auto"/>
          <w:color w:val="auto"/>
        </w:rPr>
        <w:t>Our operations in China are governed by PRC laws and regulations. We are subject to risks relating to the requirements on the licenses, approvals, registrations, filings and other permissions to (i) operate our and the VIEs’ businesses, and (ii) to issue securities to foreign investors. For details, see “Item 3. Key Information – 3.D. Risk Factors – Risks Relating to Our Business and Industry – Certain of our products and solutions are subject to telecommunications-related regulations, and future legislative or regulatory actions could adversely affect our business, results of operations and financial condition,” “Item 3. Key Information – 3.D. Risk Factors – Risks Relating to Our Business and Industry – Failure to comply with laws and regulations applicable to our business could subject us to fines and penalties and could also cause us to lose customers or otherwise harm our business,”“ Item 3. Key Information – 3.D. Risk Factors – Risks Relating to Our Business and Industry –</w:t>
      </w:r>
      <w:r>
        <w:rPr>
          <w:rFonts w:ascii="Times New Roman" w:cs="Times New Roman" w:eastAsia="Times New Roman" w:hAnsi="Times New Roman"/>
          <w:sz w:val="17"/>
          <w:szCs w:val="17"/>
          <w:i w:val="1"/>
          <w:iCs w:val="1"/>
          <w:color w:val="auto"/>
        </w:rPr>
        <w:t xml:space="preserve"> We face challenges from the evolving regulatory environment regarding cybersecurity, information security, privacy and data protection, and user attitude toward data privacy and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r>
        <w:rPr>
          <w:rFonts w:ascii="Times New Roman" w:cs="Times New Roman" w:eastAsia="Times New Roman" w:hAnsi="Times New Roman"/>
          <w:sz w:val="17"/>
          <w:szCs w:val="17"/>
          <w:i w:val="1"/>
          <w:iCs w:val="1"/>
          <w:u w:val="single" w:color="auto"/>
          <w:color w:val="auto"/>
        </w:rPr>
        <w:t>” and “Item 3.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Information – 3.D. Risk Factors – Risks Relating to Doing Business in China – The filing, approval or other administrative requirements of the CSRC or other PRC government authorities may be required to maintain our listing status or conduct future offshore securities or debt offerings.”</w:t>
      </w:r>
    </w:p>
    <w:p>
      <w:pPr>
        <w:spacing w:after="0" w:line="17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After consulting our PRC legal counsel, we believe</w:t>
      </w:r>
      <w:r>
        <w:rPr>
          <w:rFonts w:ascii="Times New Roman" w:cs="Times New Roman" w:eastAsia="Times New Roman" w:hAnsi="Times New Roman"/>
          <w:sz w:val="18"/>
          <w:szCs w:val="18"/>
          <w:i w:val="1"/>
          <w:iCs w:val="1"/>
          <w:color w:val="auto"/>
        </w:rPr>
        <w:t xml:space="preserve"> our PRC subsidiaries and the VIEs have obtained all necessary licenses and approvals required for operations in China as of the date of this annual report, including business licenses and VAT licenses for internet data center services, internet access services, domestic internet protocol virtual private network services, content delivery network services and information services.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Furthermore, </w:t>
      </w:r>
      <w:r>
        <w:rPr>
          <w:rFonts w:ascii="Times New Roman" w:cs="Times New Roman" w:eastAsia="Times New Roman" w:hAnsi="Times New Roman"/>
          <w:sz w:val="18"/>
          <w:szCs w:val="18"/>
          <w:i w:val="1"/>
          <w:iCs w:val="1"/>
          <w:u w:val="single" w:color="auto"/>
          <w:color w:val="auto"/>
        </w:rPr>
        <w:t>as advised by our PRC legal counsel,</w:t>
      </w:r>
      <w:r>
        <w:rPr>
          <w:rFonts w:ascii="Times New Roman" w:cs="Times New Roman" w:eastAsia="Times New Roman" w:hAnsi="Times New Roman"/>
          <w:sz w:val="18"/>
          <w:szCs w:val="18"/>
          <w:i w:val="1"/>
          <w:iCs w:val="1"/>
          <w:color w:val="auto"/>
        </w:rPr>
        <w:t xml:space="preserve"> in connection with our previous issuance of securities to foreign investors, under currently effective PRC laws and regulations, as of the date of this annual report, we are not aware of any PRC laws or regulations which explicitly require us, our PRC subsidiaries or the VIEs to obtain any approval or permission from the CSRC, the CAC or any other PRC governmental authorities, nor have we, our PRC subsidiaries and the VIEs received any formal inquiry, notice, warning or sanction from any PRC governmental authorities in connection with requirements of obtaining such approval or permission, under any currently effective PRC laws, regulations and regulatory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have further questions or comments regarding, or require further information or clarification of, any of the responses provided in this letter or if the Commission has any questions with respect to the Company’s Annual Report on Form 20-F, please contact the undersigned or Li He (Tel: +852-2533-3306) of Davis Polk &amp; Wardwell LLP.</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Kingsoft Cloud Holdings Limited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Haijian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Haijian He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Li He, Esq.</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2023-03-16T23:09:56Z</dcterms:created>
  <dcterms:modified xsi:type="dcterms:W3CDTF">2023-03-16T23:09:56Z</dcterms:modified>
</cp:coreProperties>
</file>